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55" w:rsidRPr="00070531" w:rsidRDefault="00070531" w:rsidP="0007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of </w:t>
      </w:r>
      <w:r w:rsidRPr="00070531">
        <w:rPr>
          <w:b/>
          <w:sz w:val="28"/>
          <w:szCs w:val="28"/>
        </w:rPr>
        <w:t>IPONZ Technical Focus Group</w:t>
      </w:r>
    </w:p>
    <w:p w:rsidR="00070531" w:rsidRDefault="00070531" w:rsidP="00070531">
      <w:pPr>
        <w:jc w:val="center"/>
        <w:rPr>
          <w:b/>
          <w:sz w:val="24"/>
          <w:szCs w:val="24"/>
        </w:rPr>
      </w:pPr>
      <w:r w:rsidRPr="00070531">
        <w:rPr>
          <w:b/>
          <w:sz w:val="24"/>
          <w:szCs w:val="24"/>
        </w:rPr>
        <w:t>Trade Marks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1D9D">
        <w:rPr>
          <w:b/>
          <w:sz w:val="24"/>
          <w:szCs w:val="24"/>
        </w:rPr>
        <w:tab/>
      </w:r>
      <w:r w:rsidRPr="00070531">
        <w:rPr>
          <w:b/>
          <w:sz w:val="24"/>
          <w:szCs w:val="24"/>
        </w:rPr>
        <w:t>Date of Meeting</w:t>
      </w:r>
      <w:r>
        <w:rPr>
          <w:b/>
          <w:sz w:val="24"/>
          <w:szCs w:val="24"/>
        </w:rPr>
        <w:t>:</w:t>
      </w:r>
      <w:r w:rsidR="00E41D9D">
        <w:rPr>
          <w:b/>
          <w:sz w:val="24"/>
          <w:szCs w:val="24"/>
        </w:rPr>
        <w:t xml:space="preserve"> 25 August 2016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070531" w:rsidTr="00070531">
        <w:tc>
          <w:tcPr>
            <w:tcW w:w="2802" w:type="dxa"/>
            <w:tcBorders>
              <w:top w:val="single" w:sz="18" w:space="0" w:color="auto"/>
              <w:bottom w:val="single" w:sz="12" w:space="0" w:color="auto"/>
            </w:tcBorders>
          </w:tcPr>
          <w:p w:rsidR="00070531" w:rsidRDefault="00070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Items</w:t>
            </w:r>
          </w:p>
        </w:tc>
        <w:tc>
          <w:tcPr>
            <w:tcW w:w="6440" w:type="dxa"/>
            <w:tcBorders>
              <w:top w:val="single" w:sz="18" w:space="0" w:color="auto"/>
              <w:bottom w:val="single" w:sz="12" w:space="0" w:color="auto"/>
            </w:tcBorders>
          </w:tcPr>
          <w:p w:rsidR="00070531" w:rsidRDefault="00070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070531" w:rsidTr="00070531">
        <w:tc>
          <w:tcPr>
            <w:tcW w:w="2802" w:type="dxa"/>
            <w:tcBorders>
              <w:top w:val="single" w:sz="12" w:space="0" w:color="auto"/>
            </w:tcBorders>
          </w:tcPr>
          <w:p w:rsidR="00070531" w:rsidRPr="00070531" w:rsidRDefault="00E41D9D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Update</w:t>
            </w:r>
          </w:p>
        </w:tc>
        <w:tc>
          <w:tcPr>
            <w:tcW w:w="6440" w:type="dxa"/>
            <w:tcBorders>
              <w:top w:val="single" w:sz="12" w:space="0" w:color="auto"/>
            </w:tcBorders>
          </w:tcPr>
          <w:p w:rsidR="007A5671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>45390 Classes</w:t>
            </w:r>
            <w:r>
              <w:rPr>
                <w:b/>
                <w:sz w:val="24"/>
                <w:szCs w:val="24"/>
              </w:rPr>
              <w:t xml:space="preserve"> for TM </w:t>
            </w:r>
            <w:r w:rsidRPr="00E41D9D">
              <w:rPr>
                <w:b/>
                <w:noProof/>
                <w:sz w:val="24"/>
                <w:szCs w:val="24"/>
              </w:rPr>
              <w:t>appl</w:t>
            </w:r>
            <w:r>
              <w:rPr>
                <w:b/>
                <w:noProof/>
                <w:sz w:val="24"/>
                <w:szCs w:val="24"/>
              </w:rPr>
              <w:t>ications</w:t>
            </w:r>
            <w:r>
              <w:rPr>
                <w:b/>
                <w:sz w:val="24"/>
                <w:szCs w:val="24"/>
              </w:rPr>
              <w:t xml:space="preserve"> lodged in the 12 months </w:t>
            </w:r>
            <w:r w:rsidRPr="00E41D9D">
              <w:rPr>
                <w:b/>
                <w:noProof/>
                <w:sz w:val="24"/>
                <w:szCs w:val="24"/>
              </w:rPr>
              <w:t>up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Pr="00E41D9D">
              <w:rPr>
                <w:b/>
                <w:noProof/>
                <w:sz w:val="24"/>
                <w:szCs w:val="24"/>
              </w:rPr>
              <w:t>to</w:t>
            </w:r>
            <w:r>
              <w:rPr>
                <w:b/>
                <w:sz w:val="24"/>
                <w:szCs w:val="24"/>
              </w:rPr>
              <w:t xml:space="preserve"> 30 June 2016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Recruiting for TM examiners</w:t>
            </w:r>
          </w:p>
          <w:p w:rsidR="00E41D9D" w:rsidRP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noProof/>
                <w:sz w:val="24"/>
                <w:szCs w:val="24"/>
              </w:rPr>
              <w:t>Currently</w:t>
            </w:r>
            <w:r>
              <w:rPr>
                <w:b/>
                <w:noProof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two TM staff working at WIPO in Geneva</w:t>
            </w:r>
          </w:p>
        </w:tc>
      </w:tr>
      <w:tr w:rsidR="00070531" w:rsidTr="00070531">
        <w:tc>
          <w:tcPr>
            <w:tcW w:w="2802" w:type="dxa"/>
          </w:tcPr>
          <w:p w:rsidR="00070531" w:rsidRPr="00070531" w:rsidRDefault="00E41D9D" w:rsidP="00E41D9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>Senior Stakeholder Engagement Advisors (SEA)</w:t>
            </w:r>
          </w:p>
        </w:tc>
        <w:tc>
          <w:tcPr>
            <w:tcW w:w="6440" w:type="dxa"/>
          </w:tcPr>
          <w:p w:rsidR="00070531" w:rsidRDefault="00E41D9D" w:rsidP="00760FC7">
            <w:p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>IPONZ introduced Tim Renner and Peta Bailey Gibson as part of the SEA team</w:t>
            </w:r>
            <w:r>
              <w:rPr>
                <w:b/>
                <w:sz w:val="24"/>
                <w:szCs w:val="24"/>
              </w:rPr>
              <w:t xml:space="preserve"> (Team Head: Tao Morton)</w:t>
            </w:r>
            <w:r w:rsidRPr="00E41D9D">
              <w:rPr>
                <w:b/>
                <w:sz w:val="24"/>
                <w:szCs w:val="24"/>
              </w:rPr>
              <w:t xml:space="preserve"> who are the go to people </w:t>
            </w:r>
            <w:r>
              <w:rPr>
                <w:b/>
                <w:sz w:val="24"/>
                <w:szCs w:val="24"/>
              </w:rPr>
              <w:t>that</w:t>
            </w:r>
            <w:r w:rsidRPr="00E41D9D">
              <w:rPr>
                <w:b/>
                <w:sz w:val="24"/>
                <w:szCs w:val="24"/>
              </w:rPr>
              <w:t xml:space="preserve"> engage with IPONZ stakeholders, such as Attorneys, </w:t>
            </w:r>
            <w:r w:rsidRPr="00E41D9D">
              <w:rPr>
                <w:b/>
                <w:noProof/>
                <w:sz w:val="24"/>
                <w:szCs w:val="24"/>
              </w:rPr>
              <w:t>Appl</w:t>
            </w:r>
            <w:r>
              <w:rPr>
                <w:b/>
                <w:noProof/>
                <w:sz w:val="24"/>
                <w:szCs w:val="24"/>
              </w:rPr>
              <w:t>ic</w:t>
            </w:r>
            <w:r w:rsidRPr="00E41D9D">
              <w:rPr>
                <w:b/>
                <w:noProof/>
                <w:sz w:val="24"/>
                <w:szCs w:val="24"/>
              </w:rPr>
              <w:t>ants</w:t>
            </w:r>
            <w:r w:rsidRPr="00E41D9D">
              <w:rPr>
                <w:b/>
                <w:sz w:val="24"/>
                <w:szCs w:val="24"/>
              </w:rPr>
              <w:t>, etc.</w:t>
            </w:r>
            <w:r>
              <w:rPr>
                <w:b/>
                <w:sz w:val="24"/>
                <w:szCs w:val="24"/>
              </w:rPr>
              <w:t xml:space="preserve"> in matters pertaining to IPONZ communications, </w:t>
            </w:r>
            <w:r w:rsidRPr="00E41D9D">
              <w:rPr>
                <w:b/>
                <w:noProof/>
                <w:sz w:val="24"/>
                <w:szCs w:val="24"/>
              </w:rPr>
              <w:t>website</w:t>
            </w:r>
            <w:r>
              <w:rPr>
                <w:b/>
                <w:sz w:val="24"/>
                <w:szCs w:val="24"/>
              </w:rPr>
              <w:t>, contact centre, etc.</w:t>
            </w:r>
          </w:p>
          <w:p w:rsidR="007A5671" w:rsidRDefault="007A5671" w:rsidP="00760FC7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E41D9D" w:rsidP="00E41D9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>Proposed Classification Changes</w:t>
            </w:r>
          </w:p>
        </w:tc>
        <w:tc>
          <w:tcPr>
            <w:tcW w:w="6440" w:type="dxa"/>
          </w:tcPr>
          <w:p w:rsidR="00070531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Broad Specifications.  In light of feedback from WIPO in </w:t>
            </w:r>
            <w:r w:rsidRPr="00E41D9D">
              <w:rPr>
                <w:b/>
                <w:noProof/>
                <w:sz w:val="24"/>
                <w:szCs w:val="24"/>
              </w:rPr>
              <w:t>res</w:t>
            </w:r>
            <w:r>
              <w:rPr>
                <w:b/>
                <w:noProof/>
                <w:sz w:val="24"/>
                <w:szCs w:val="24"/>
              </w:rPr>
              <w:t>pe</w:t>
            </w:r>
            <w:r w:rsidRPr="00E41D9D">
              <w:rPr>
                <w:b/>
                <w:noProof/>
                <w:sz w:val="24"/>
                <w:szCs w:val="24"/>
              </w:rPr>
              <w:t>ct</w:t>
            </w:r>
            <w:r>
              <w:rPr>
                <w:b/>
                <w:sz w:val="24"/>
                <w:szCs w:val="24"/>
              </w:rPr>
              <w:t xml:space="preserve"> of wording of classifications for NZ lodged International TM registrations WIPO provided IPONZ with an </w:t>
            </w:r>
            <w:r w:rsidRPr="00E41D9D">
              <w:rPr>
                <w:b/>
                <w:noProof/>
                <w:sz w:val="24"/>
                <w:szCs w:val="24"/>
              </w:rPr>
              <w:t>in</w:t>
            </w:r>
            <w:r>
              <w:rPr>
                <w:b/>
                <w:noProof/>
                <w:sz w:val="24"/>
                <w:szCs w:val="24"/>
              </w:rPr>
              <w:t>i</w:t>
            </w:r>
            <w:r w:rsidRPr="00E41D9D">
              <w:rPr>
                <w:b/>
                <w:noProof/>
                <w:sz w:val="24"/>
                <w:szCs w:val="24"/>
              </w:rPr>
              <w:t>tial</w:t>
            </w:r>
            <w:r>
              <w:rPr>
                <w:b/>
                <w:sz w:val="24"/>
                <w:szCs w:val="24"/>
              </w:rPr>
              <w:t xml:space="preserve"> list of classification terms that WIPO does not allow.  IPONZ to review the </w:t>
            </w:r>
            <w:r w:rsidRPr="00E41D9D">
              <w:rPr>
                <w:b/>
                <w:noProof/>
                <w:sz w:val="24"/>
                <w:szCs w:val="24"/>
              </w:rPr>
              <w:t>list</w:t>
            </w:r>
            <w:r>
              <w:rPr>
                <w:b/>
                <w:sz w:val="24"/>
                <w:szCs w:val="24"/>
              </w:rPr>
              <w:t xml:space="preserve"> and seek feedback.</w:t>
            </w:r>
          </w:p>
          <w:p w:rsidR="00E41D9D" w:rsidRP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Discussion on new proposed practice guideline in </w:t>
            </w:r>
            <w:r w:rsidRPr="00E41D9D">
              <w:rPr>
                <w:b/>
                <w:noProof/>
                <w:sz w:val="24"/>
                <w:szCs w:val="24"/>
              </w:rPr>
              <w:t>res</w:t>
            </w:r>
            <w:r>
              <w:rPr>
                <w:b/>
                <w:noProof/>
                <w:sz w:val="24"/>
                <w:szCs w:val="24"/>
              </w:rPr>
              <w:t>pe</w:t>
            </w:r>
            <w:r w:rsidRPr="00E41D9D">
              <w:rPr>
                <w:b/>
                <w:noProof/>
                <w:sz w:val="24"/>
                <w:szCs w:val="24"/>
              </w:rPr>
              <w:t>ct</w:t>
            </w:r>
            <w:r>
              <w:rPr>
                <w:b/>
                <w:sz w:val="24"/>
                <w:szCs w:val="24"/>
              </w:rPr>
              <w:t xml:space="preserve"> of how to </w:t>
            </w:r>
            <w:r w:rsidRPr="00E41D9D">
              <w:rPr>
                <w:b/>
                <w:noProof/>
                <w:sz w:val="24"/>
                <w:szCs w:val="24"/>
              </w:rPr>
              <w:t>appr</w:t>
            </w:r>
            <w:r>
              <w:rPr>
                <w:b/>
                <w:noProof/>
                <w:sz w:val="24"/>
                <w:szCs w:val="24"/>
              </w:rPr>
              <w:t>oa</w:t>
            </w:r>
            <w:r w:rsidRPr="00E41D9D">
              <w:rPr>
                <w:b/>
                <w:noProof/>
                <w:sz w:val="24"/>
                <w:szCs w:val="24"/>
              </w:rPr>
              <w:t>ch similarity of goods between class 32 and 33</w:t>
            </w:r>
            <w:r>
              <w:rPr>
                <w:b/>
                <w:noProof/>
                <w:sz w:val="24"/>
                <w:szCs w:val="24"/>
              </w:rPr>
              <w:t xml:space="preserve">.  Effectively if both the class 32 and 33 goods are </w:t>
            </w:r>
            <w:r w:rsidRPr="00E41D9D">
              <w:rPr>
                <w:b/>
                <w:noProof/>
                <w:sz w:val="24"/>
                <w:szCs w:val="24"/>
              </w:rPr>
              <w:t>bro</w:t>
            </w:r>
            <w:r>
              <w:rPr>
                <w:b/>
                <w:noProof/>
                <w:sz w:val="24"/>
                <w:szCs w:val="24"/>
              </w:rPr>
              <w:t>a</w:t>
            </w:r>
            <w:r w:rsidRPr="00E41D9D">
              <w:rPr>
                <w:b/>
                <w:noProof/>
                <w:sz w:val="24"/>
                <w:szCs w:val="24"/>
              </w:rPr>
              <w:t>d</w:t>
            </w:r>
            <w:r>
              <w:rPr>
                <w:b/>
                <w:noProof/>
                <w:sz w:val="24"/>
                <w:szCs w:val="24"/>
              </w:rPr>
              <w:t xml:space="preserve"> then the marks will </w:t>
            </w:r>
            <w:r w:rsidRPr="00E41D9D">
              <w:rPr>
                <w:b/>
                <w:noProof/>
                <w:sz w:val="24"/>
                <w:szCs w:val="24"/>
              </w:rPr>
              <w:t>genera</w:t>
            </w:r>
            <w:r>
              <w:rPr>
                <w:b/>
                <w:noProof/>
                <w:sz w:val="24"/>
                <w:szCs w:val="24"/>
              </w:rPr>
              <w:t>l</w:t>
            </w:r>
            <w:r w:rsidRPr="00E41D9D">
              <w:rPr>
                <w:b/>
                <w:noProof/>
                <w:sz w:val="24"/>
                <w:szCs w:val="24"/>
              </w:rPr>
              <w:t>ly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Pr="00E41D9D">
              <w:rPr>
                <w:b/>
                <w:noProof/>
                <w:sz w:val="24"/>
                <w:szCs w:val="24"/>
              </w:rPr>
              <w:t>be</w:t>
            </w:r>
            <w:r>
              <w:rPr>
                <w:b/>
                <w:noProof/>
                <w:sz w:val="24"/>
                <w:szCs w:val="24"/>
              </w:rPr>
              <w:t xml:space="preserve"> considered </w:t>
            </w:r>
            <w:r w:rsidRPr="008071F7">
              <w:rPr>
                <w:b/>
                <w:noProof/>
                <w:sz w:val="24"/>
                <w:szCs w:val="24"/>
              </w:rPr>
              <w:t>similar,</w:t>
            </w:r>
            <w:r>
              <w:rPr>
                <w:b/>
                <w:noProof/>
                <w:sz w:val="24"/>
                <w:szCs w:val="24"/>
              </w:rPr>
              <w:t xml:space="preserve"> if one class is specific and the other </w:t>
            </w:r>
            <w:r w:rsidRPr="00E41D9D">
              <w:rPr>
                <w:b/>
                <w:noProof/>
                <w:sz w:val="24"/>
                <w:szCs w:val="24"/>
              </w:rPr>
              <w:t>br</w:t>
            </w:r>
            <w:r>
              <w:rPr>
                <w:b/>
                <w:noProof/>
                <w:sz w:val="24"/>
                <w:szCs w:val="24"/>
              </w:rPr>
              <w:t>oa</w:t>
            </w:r>
            <w:r w:rsidRPr="00E41D9D">
              <w:rPr>
                <w:b/>
                <w:noProof/>
                <w:sz w:val="24"/>
                <w:szCs w:val="24"/>
              </w:rPr>
              <w:t>d</w:t>
            </w:r>
            <w:r>
              <w:rPr>
                <w:b/>
                <w:noProof/>
                <w:sz w:val="24"/>
                <w:szCs w:val="24"/>
              </w:rPr>
              <w:t xml:space="preserve"> then the marks will generally be considered similar and if  both are specific then the marks will be </w:t>
            </w:r>
            <w:r w:rsidRPr="00E41D9D">
              <w:rPr>
                <w:b/>
                <w:noProof/>
                <w:sz w:val="24"/>
                <w:szCs w:val="24"/>
              </w:rPr>
              <w:t>consid</w:t>
            </w:r>
            <w:r>
              <w:rPr>
                <w:b/>
                <w:noProof/>
                <w:sz w:val="24"/>
                <w:szCs w:val="24"/>
              </w:rPr>
              <w:t>er</w:t>
            </w:r>
            <w:r w:rsidRPr="00E41D9D">
              <w:rPr>
                <w:b/>
                <w:noProof/>
                <w:sz w:val="24"/>
                <w:szCs w:val="24"/>
              </w:rPr>
              <w:t>ed</w:t>
            </w:r>
            <w:r>
              <w:rPr>
                <w:b/>
                <w:noProof/>
                <w:sz w:val="24"/>
                <w:szCs w:val="24"/>
              </w:rPr>
              <w:t xml:space="preserve"> on how specific the goods are as if they are similar or not.  IPONZ to finalise the practice guideline and </w:t>
            </w:r>
            <w:r w:rsidRPr="00E41D9D">
              <w:rPr>
                <w:b/>
                <w:noProof/>
                <w:sz w:val="24"/>
                <w:szCs w:val="24"/>
              </w:rPr>
              <w:t>re</w:t>
            </w:r>
            <w:r>
              <w:rPr>
                <w:b/>
                <w:noProof/>
                <w:sz w:val="24"/>
                <w:szCs w:val="24"/>
              </w:rPr>
              <w:t>lea</w:t>
            </w:r>
            <w:r w:rsidRPr="00E41D9D">
              <w:rPr>
                <w:b/>
                <w:noProof/>
                <w:sz w:val="24"/>
                <w:szCs w:val="24"/>
              </w:rPr>
              <w:t>se</w:t>
            </w:r>
            <w:r>
              <w:rPr>
                <w:b/>
                <w:noProof/>
                <w:sz w:val="24"/>
                <w:szCs w:val="24"/>
              </w:rPr>
              <w:t xml:space="preserve"> in due course.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E41D9D" w:rsidP="00E41D9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 xml:space="preserve">Geographical </w:t>
            </w:r>
            <w:r w:rsidRPr="00E41D9D">
              <w:rPr>
                <w:b/>
                <w:noProof/>
                <w:sz w:val="24"/>
                <w:szCs w:val="24"/>
              </w:rPr>
              <w:t>In</w:t>
            </w:r>
            <w:r>
              <w:rPr>
                <w:b/>
                <w:noProof/>
                <w:sz w:val="24"/>
                <w:szCs w:val="24"/>
              </w:rPr>
              <w:t>dic</w:t>
            </w:r>
            <w:r w:rsidRPr="00E41D9D">
              <w:rPr>
                <w:b/>
                <w:noProof/>
                <w:sz w:val="24"/>
                <w:szCs w:val="24"/>
              </w:rPr>
              <w:t>ation</w:t>
            </w:r>
            <w:r w:rsidRPr="00E41D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 w:rsidRPr="00E41D9D">
              <w:rPr>
                <w:b/>
                <w:sz w:val="24"/>
                <w:szCs w:val="24"/>
              </w:rPr>
              <w:t>mplementation</w:t>
            </w:r>
          </w:p>
        </w:tc>
        <w:tc>
          <w:tcPr>
            <w:tcW w:w="6440" w:type="dxa"/>
          </w:tcPr>
          <w:p w:rsidR="00760FC7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Select Committee to report back sometime in September/October.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noProof/>
                <w:sz w:val="24"/>
                <w:szCs w:val="24"/>
              </w:rPr>
              <w:t>Su</w:t>
            </w:r>
            <w:r>
              <w:rPr>
                <w:b/>
                <w:noProof/>
                <w:sz w:val="24"/>
                <w:szCs w:val="24"/>
              </w:rPr>
              <w:t>bm</w:t>
            </w:r>
            <w:r w:rsidRPr="00E41D9D">
              <w:rPr>
                <w:b/>
                <w:noProof/>
                <w:sz w:val="24"/>
                <w:szCs w:val="24"/>
              </w:rPr>
              <w:t>issions</w:t>
            </w:r>
            <w:r>
              <w:rPr>
                <w:b/>
                <w:sz w:val="24"/>
                <w:szCs w:val="24"/>
              </w:rPr>
              <w:t xml:space="preserve"> to the draft </w:t>
            </w:r>
            <w:r w:rsidRPr="00E41D9D">
              <w:rPr>
                <w:b/>
                <w:noProof/>
                <w:sz w:val="24"/>
                <w:szCs w:val="24"/>
              </w:rPr>
              <w:t>regu</w:t>
            </w:r>
            <w:r>
              <w:rPr>
                <w:b/>
                <w:noProof/>
                <w:sz w:val="24"/>
                <w:szCs w:val="24"/>
              </w:rPr>
              <w:t>la</w:t>
            </w:r>
            <w:r w:rsidRPr="00E41D9D">
              <w:rPr>
                <w:b/>
                <w:noProof/>
                <w:sz w:val="24"/>
                <w:szCs w:val="24"/>
              </w:rPr>
              <w:t>tions</w:t>
            </w:r>
            <w:r>
              <w:rPr>
                <w:b/>
                <w:sz w:val="24"/>
                <w:szCs w:val="24"/>
              </w:rPr>
              <w:t xml:space="preserve"> to appear on the IPONZ/MBIE website.</w:t>
            </w:r>
          </w:p>
          <w:p w:rsidR="00E41D9D" w:rsidRP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 Implementation </w:t>
            </w:r>
            <w:r>
              <w:rPr>
                <w:b/>
                <w:noProof/>
                <w:sz w:val="24"/>
                <w:szCs w:val="24"/>
              </w:rPr>
              <w:t>should hopefully occur in the first half of 2017</w:t>
            </w:r>
          </w:p>
        </w:tc>
      </w:tr>
      <w:tr w:rsidR="00070531" w:rsidTr="00070531">
        <w:tc>
          <w:tcPr>
            <w:tcW w:w="2802" w:type="dxa"/>
          </w:tcPr>
          <w:p w:rsidR="00070531" w:rsidRPr="00070531" w:rsidRDefault="00E41D9D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Madrid Working Group</w:t>
            </w:r>
          </w:p>
        </w:tc>
        <w:tc>
          <w:tcPr>
            <w:tcW w:w="6440" w:type="dxa"/>
          </w:tcPr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Malaysia, Brunei, Indonesia, Thailand, Malawi and </w:t>
            </w:r>
            <w:r w:rsidRPr="00E41D9D">
              <w:rPr>
                <w:b/>
                <w:noProof/>
                <w:sz w:val="24"/>
                <w:szCs w:val="24"/>
              </w:rPr>
              <w:t>Trin</w:t>
            </w:r>
            <w:r>
              <w:rPr>
                <w:b/>
                <w:noProof/>
                <w:sz w:val="24"/>
                <w:szCs w:val="24"/>
              </w:rPr>
              <w:t>i</w:t>
            </w:r>
            <w:r w:rsidRPr="00E41D9D">
              <w:rPr>
                <w:b/>
                <w:noProof/>
                <w:sz w:val="24"/>
                <w:szCs w:val="24"/>
              </w:rPr>
              <w:t>dad</w:t>
            </w:r>
            <w:r>
              <w:rPr>
                <w:b/>
                <w:sz w:val="24"/>
                <w:szCs w:val="24"/>
              </w:rPr>
              <w:t xml:space="preserve"> and </w:t>
            </w:r>
            <w:r w:rsidRPr="00E41D9D">
              <w:rPr>
                <w:b/>
                <w:noProof/>
                <w:sz w:val="24"/>
                <w:szCs w:val="24"/>
              </w:rPr>
              <w:t>T</w:t>
            </w:r>
            <w:r>
              <w:rPr>
                <w:b/>
                <w:noProof/>
                <w:sz w:val="24"/>
                <w:szCs w:val="24"/>
              </w:rPr>
              <w:t>o</w:t>
            </w:r>
            <w:r w:rsidRPr="00E41D9D">
              <w:rPr>
                <w:b/>
                <w:noProof/>
                <w:sz w:val="24"/>
                <w:szCs w:val="24"/>
              </w:rPr>
              <w:t>bago</w:t>
            </w:r>
            <w:r>
              <w:rPr>
                <w:b/>
                <w:sz w:val="24"/>
                <w:szCs w:val="24"/>
              </w:rPr>
              <w:t xml:space="preserve"> are to join Madrid in 2016/2017.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Canada, Pakistan and South Africa should be joining Madrid within the next </w:t>
            </w:r>
            <w:r w:rsidRPr="00E41D9D">
              <w:rPr>
                <w:b/>
                <w:noProof/>
                <w:sz w:val="24"/>
                <w:szCs w:val="24"/>
              </w:rPr>
              <w:t>two</w:t>
            </w:r>
            <w:r>
              <w:rPr>
                <w:b/>
                <w:sz w:val="24"/>
                <w:szCs w:val="24"/>
              </w:rPr>
              <w:t xml:space="preserve"> to three years 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WIPO still has a big backlog of processing newly filed International TM Registrations, including those designating NZ.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IPONZ indicated that if there are any issues concerning filed </w:t>
            </w:r>
            <w:r w:rsidRPr="00E41D9D">
              <w:rPr>
                <w:b/>
                <w:noProof/>
                <w:sz w:val="24"/>
                <w:szCs w:val="24"/>
              </w:rPr>
              <w:t>International</w:t>
            </w:r>
            <w:r>
              <w:rPr>
                <w:b/>
                <w:sz w:val="24"/>
                <w:szCs w:val="24"/>
              </w:rPr>
              <w:t xml:space="preserve"> TM registration that is best to contact IPONZ in the first instance.</w:t>
            </w:r>
          </w:p>
          <w:p w:rsidR="00760FC7" w:rsidRDefault="00E41D9D" w:rsidP="00E41D9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WIPO from </w:t>
            </w:r>
            <w:r w:rsidRPr="00E41D9D">
              <w:rPr>
                <w:b/>
                <w:noProof/>
                <w:sz w:val="24"/>
                <w:szCs w:val="24"/>
              </w:rPr>
              <w:t>February</w:t>
            </w:r>
            <w:r>
              <w:rPr>
                <w:b/>
                <w:sz w:val="24"/>
                <w:szCs w:val="24"/>
              </w:rPr>
              <w:t xml:space="preserve"> 2019 will allow for </w:t>
            </w:r>
            <w:r w:rsidRPr="00E41D9D">
              <w:rPr>
                <w:b/>
                <w:noProof/>
                <w:sz w:val="24"/>
                <w:szCs w:val="24"/>
              </w:rPr>
              <w:t>divisionals</w:t>
            </w:r>
            <w:r>
              <w:rPr>
                <w:b/>
                <w:noProof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0531" w:rsidTr="00070531">
        <w:tc>
          <w:tcPr>
            <w:tcW w:w="2802" w:type="dxa"/>
          </w:tcPr>
          <w:p w:rsidR="00070531" w:rsidRPr="00070531" w:rsidRDefault="00E41D9D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Approach to Section 60(2)</w:t>
            </w:r>
          </w:p>
        </w:tc>
        <w:tc>
          <w:tcPr>
            <w:tcW w:w="6440" w:type="dxa"/>
          </w:tcPr>
          <w:p w:rsidR="00070531" w:rsidRDefault="00E41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Discussion on Section 60(2) of the TM Act was discussed.  At </w:t>
            </w:r>
            <w:r w:rsidRPr="00E41D9D">
              <w:rPr>
                <w:b/>
                <w:noProof/>
                <w:sz w:val="24"/>
                <w:szCs w:val="24"/>
              </w:rPr>
              <w:t>present</w:t>
            </w:r>
            <w:r>
              <w:rPr>
                <w:b/>
                <w:noProof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there </w:t>
            </w:r>
            <w:r>
              <w:rPr>
                <w:b/>
                <w:noProof/>
                <w:sz w:val="24"/>
                <w:szCs w:val="24"/>
              </w:rPr>
              <w:t>are</w:t>
            </w:r>
            <w:r>
              <w:rPr>
                <w:b/>
                <w:sz w:val="24"/>
                <w:szCs w:val="24"/>
              </w:rPr>
              <w:t xml:space="preserve"> no </w:t>
            </w:r>
            <w:r w:rsidRPr="00E41D9D">
              <w:rPr>
                <w:b/>
                <w:noProof/>
                <w:sz w:val="24"/>
                <w:szCs w:val="24"/>
              </w:rPr>
              <w:t>regu</w:t>
            </w:r>
            <w:r>
              <w:rPr>
                <w:b/>
                <w:noProof/>
                <w:sz w:val="24"/>
                <w:szCs w:val="24"/>
              </w:rPr>
              <w:t>la</w:t>
            </w:r>
            <w:r w:rsidRPr="00E41D9D">
              <w:rPr>
                <w:b/>
                <w:noProof/>
                <w:sz w:val="24"/>
                <w:szCs w:val="24"/>
              </w:rPr>
              <w:t>tions</w:t>
            </w:r>
            <w:r>
              <w:rPr>
                <w:b/>
                <w:sz w:val="24"/>
                <w:szCs w:val="24"/>
              </w:rPr>
              <w:t xml:space="preserve"> that pertain to section 60(2) and IPONZ has no current guidelines as to how to handle section 60(2).  IPONZ </w:t>
            </w:r>
            <w:r w:rsidRPr="00E41D9D">
              <w:rPr>
                <w:b/>
                <w:noProof/>
                <w:sz w:val="24"/>
                <w:szCs w:val="24"/>
              </w:rPr>
              <w:t>in</w:t>
            </w:r>
            <w:r>
              <w:rPr>
                <w:b/>
                <w:noProof/>
                <w:sz w:val="24"/>
                <w:szCs w:val="24"/>
              </w:rPr>
              <w:t>i</w:t>
            </w:r>
            <w:r w:rsidRPr="00E41D9D">
              <w:rPr>
                <w:b/>
                <w:noProof/>
                <w:sz w:val="24"/>
                <w:szCs w:val="24"/>
              </w:rPr>
              <w:t>tial</w:t>
            </w:r>
            <w:r>
              <w:rPr>
                <w:b/>
                <w:sz w:val="24"/>
                <w:szCs w:val="24"/>
              </w:rPr>
              <w:t xml:space="preserve"> view is that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they would have to involve the party of the mark</w:t>
            </w:r>
            <w:r w:rsidRPr="00E41D9D">
              <w:rPr>
                <w:b/>
                <w:noProof/>
                <w:sz w:val="24"/>
                <w:szCs w:val="24"/>
              </w:rPr>
              <w:t xml:space="preserve"> being  removed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41D9D">
              <w:rPr>
                <w:b/>
                <w:noProof/>
                <w:sz w:val="24"/>
                <w:szCs w:val="24"/>
              </w:rPr>
              <w:t>however</w:t>
            </w:r>
            <w:r>
              <w:rPr>
                <w:b/>
                <w:sz w:val="24"/>
                <w:szCs w:val="24"/>
              </w:rPr>
              <w:t xml:space="preserve"> IPONZ seeks more </w:t>
            </w:r>
            <w:r w:rsidRPr="00E41D9D">
              <w:rPr>
                <w:b/>
                <w:noProof/>
                <w:sz w:val="24"/>
                <w:szCs w:val="24"/>
              </w:rPr>
              <w:t>feedback</w:t>
            </w:r>
            <w:r>
              <w:rPr>
                <w:b/>
                <w:noProof/>
                <w:sz w:val="24"/>
                <w:szCs w:val="24"/>
              </w:rPr>
              <w:t xml:space="preserve"> before generating any guidelines.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E41D9D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Including Agent details in citation reports</w:t>
            </w:r>
          </w:p>
        </w:tc>
        <w:tc>
          <w:tcPr>
            <w:tcW w:w="6440" w:type="dxa"/>
          </w:tcPr>
          <w:p w:rsidR="00070531" w:rsidRDefault="00E41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IPONZ is to </w:t>
            </w:r>
            <w:r w:rsidRPr="00E41D9D">
              <w:rPr>
                <w:b/>
                <w:noProof/>
                <w:sz w:val="24"/>
                <w:szCs w:val="24"/>
              </w:rPr>
              <w:t>look</w:t>
            </w:r>
            <w:r>
              <w:rPr>
                <w:b/>
                <w:sz w:val="24"/>
                <w:szCs w:val="24"/>
              </w:rPr>
              <w:t xml:space="preserve"> at a </w:t>
            </w:r>
            <w:r w:rsidRPr="00E41D9D">
              <w:rPr>
                <w:b/>
                <w:noProof/>
                <w:sz w:val="24"/>
                <w:szCs w:val="24"/>
              </w:rPr>
              <w:t>pos</w:t>
            </w:r>
            <w:r>
              <w:rPr>
                <w:b/>
                <w:noProof/>
                <w:sz w:val="24"/>
                <w:szCs w:val="24"/>
              </w:rPr>
              <w:t>sible</w:t>
            </w:r>
            <w:r>
              <w:rPr>
                <w:b/>
                <w:sz w:val="24"/>
                <w:szCs w:val="24"/>
              </w:rPr>
              <w:t xml:space="preserve"> enhancement so that the Agents details will appear citation reports. 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  <w:tr w:rsidR="00760FC7" w:rsidTr="00070531">
        <w:tc>
          <w:tcPr>
            <w:tcW w:w="2802" w:type="dxa"/>
          </w:tcPr>
          <w:p w:rsidR="00760FC7" w:rsidRPr="00070531" w:rsidRDefault="00E41D9D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Foreign Characters translated in Excel </w:t>
            </w:r>
            <w:r w:rsidRPr="00E41D9D">
              <w:rPr>
                <w:b/>
                <w:noProof/>
                <w:sz w:val="24"/>
                <w:szCs w:val="24"/>
              </w:rPr>
              <w:t>Sear</w:t>
            </w:r>
            <w:r>
              <w:rPr>
                <w:b/>
                <w:noProof/>
                <w:sz w:val="24"/>
                <w:szCs w:val="24"/>
              </w:rPr>
              <w:t>c</w:t>
            </w:r>
            <w:r w:rsidRPr="00E41D9D">
              <w:rPr>
                <w:b/>
                <w:noProof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reports results</w:t>
            </w:r>
          </w:p>
        </w:tc>
        <w:tc>
          <w:tcPr>
            <w:tcW w:w="6440" w:type="dxa"/>
          </w:tcPr>
          <w:p w:rsidR="00760FC7" w:rsidRDefault="00E41D9D">
            <w:p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 xml:space="preserve">IPONZ is to look at a possible enhancement so that </w:t>
            </w:r>
            <w:r>
              <w:rPr>
                <w:b/>
                <w:sz w:val="24"/>
                <w:szCs w:val="24"/>
              </w:rPr>
              <w:t>translations of foreign characters appear in Excel search</w:t>
            </w:r>
            <w:r w:rsidRPr="00E41D9D">
              <w:rPr>
                <w:b/>
                <w:sz w:val="24"/>
                <w:szCs w:val="24"/>
              </w:rPr>
              <w:t xml:space="preserve"> reports.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  <w:tr w:rsidR="00760FC7" w:rsidTr="00070531">
        <w:tc>
          <w:tcPr>
            <w:tcW w:w="2802" w:type="dxa"/>
          </w:tcPr>
          <w:p w:rsidR="00760FC7" w:rsidRPr="00070531" w:rsidRDefault="00E41D9D" w:rsidP="00E41D9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41D9D">
              <w:rPr>
                <w:b/>
                <w:sz w:val="24"/>
                <w:szCs w:val="24"/>
              </w:rPr>
              <w:t xml:space="preserve">Māori as an official language, significant section of the community, meaning in English including where there are a number of translations </w:t>
            </w:r>
            <w:r w:rsidRPr="00E41D9D">
              <w:rPr>
                <w:b/>
                <w:noProof/>
                <w:sz w:val="24"/>
                <w:szCs w:val="24"/>
              </w:rPr>
              <w:t>for</w:t>
            </w:r>
            <w:r w:rsidRPr="00E41D9D">
              <w:rPr>
                <w:b/>
                <w:sz w:val="24"/>
                <w:szCs w:val="24"/>
              </w:rPr>
              <w:t xml:space="preserve"> the same word</w:t>
            </w:r>
          </w:p>
        </w:tc>
        <w:tc>
          <w:tcPr>
            <w:tcW w:w="6440" w:type="dxa"/>
          </w:tcPr>
          <w:p w:rsidR="00760FC7" w:rsidRDefault="00E41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 sure what the context of this item was and not sure if IPONZ fully addressed it.  </w:t>
            </w:r>
            <w:r w:rsidRPr="00E41D9D">
              <w:rPr>
                <w:b/>
                <w:noProof/>
                <w:sz w:val="24"/>
                <w:szCs w:val="24"/>
              </w:rPr>
              <w:t>However</w:t>
            </w:r>
            <w:r>
              <w:rPr>
                <w:b/>
                <w:noProof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the following points came out of the discussion.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IPONZ indicated no real measure as to determine or what constitutes a significant section of the community.</w:t>
            </w:r>
          </w:p>
          <w:p w:rsid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IPONZ takes the </w:t>
            </w:r>
            <w:r w:rsidRPr="00E41D9D">
              <w:rPr>
                <w:b/>
                <w:noProof/>
                <w:sz w:val="24"/>
                <w:szCs w:val="24"/>
              </w:rPr>
              <w:t>mea</w:t>
            </w:r>
            <w:r>
              <w:rPr>
                <w:b/>
                <w:noProof/>
                <w:sz w:val="24"/>
                <w:szCs w:val="24"/>
              </w:rPr>
              <w:t>n</w:t>
            </w:r>
            <w:r w:rsidRPr="00E41D9D">
              <w:rPr>
                <w:b/>
                <w:noProof/>
                <w:sz w:val="24"/>
                <w:szCs w:val="24"/>
              </w:rPr>
              <w:t>ing of</w:t>
            </w:r>
            <w:r>
              <w:rPr>
                <w:b/>
                <w:noProof/>
                <w:sz w:val="24"/>
                <w:szCs w:val="24"/>
              </w:rPr>
              <w:t xml:space="preserve"> a translated word that is closest and relevant to the goods/services sp</w:t>
            </w:r>
            <w:r w:rsidRPr="00E41D9D">
              <w:rPr>
                <w:b/>
                <w:noProof/>
                <w:sz w:val="24"/>
                <w:szCs w:val="24"/>
              </w:rPr>
              <w:t>ecified</w:t>
            </w:r>
            <w:r>
              <w:rPr>
                <w:b/>
                <w:noProof/>
                <w:sz w:val="24"/>
                <w:szCs w:val="24"/>
              </w:rPr>
              <w:t>.</w:t>
            </w:r>
          </w:p>
          <w:p w:rsidR="00E41D9D" w:rsidRPr="00E41D9D" w:rsidRDefault="00E41D9D" w:rsidP="00E41D9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IPONZ </w:t>
            </w:r>
            <w:r w:rsidRPr="00E41D9D">
              <w:rPr>
                <w:b/>
                <w:noProof/>
                <w:sz w:val="24"/>
                <w:szCs w:val="24"/>
              </w:rPr>
              <w:t>pr</w:t>
            </w:r>
            <w:r>
              <w:rPr>
                <w:b/>
                <w:noProof/>
                <w:sz w:val="24"/>
                <w:szCs w:val="24"/>
              </w:rPr>
              <w:t>o</w:t>
            </w:r>
            <w:r w:rsidRPr="00E41D9D">
              <w:rPr>
                <w:b/>
                <w:noProof/>
                <w:sz w:val="24"/>
                <w:szCs w:val="24"/>
              </w:rPr>
              <w:t>vided</w:t>
            </w:r>
            <w:r>
              <w:rPr>
                <w:b/>
                <w:noProof/>
                <w:sz w:val="24"/>
                <w:szCs w:val="24"/>
              </w:rPr>
              <w:t xml:space="preserve"> a </w:t>
            </w:r>
            <w:r w:rsidRPr="00E41D9D">
              <w:rPr>
                <w:b/>
                <w:noProof/>
                <w:sz w:val="24"/>
                <w:szCs w:val="24"/>
              </w:rPr>
              <w:t>list 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D9D">
              <w:rPr>
                <w:b/>
                <w:noProof/>
                <w:sz w:val="24"/>
                <w:szCs w:val="24"/>
              </w:rPr>
              <w:t>marks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D9D">
              <w:rPr>
                <w:b/>
                <w:noProof/>
                <w:sz w:val="24"/>
                <w:szCs w:val="24"/>
              </w:rPr>
              <w:t>ref</w:t>
            </w:r>
            <w:r>
              <w:rPr>
                <w:b/>
                <w:noProof/>
                <w:sz w:val="24"/>
                <w:szCs w:val="24"/>
              </w:rPr>
              <w:t>u</w:t>
            </w:r>
            <w:r w:rsidRPr="00E41D9D">
              <w:rPr>
                <w:b/>
                <w:noProof/>
                <w:sz w:val="24"/>
                <w:szCs w:val="24"/>
              </w:rPr>
              <w:t>sed</w:t>
            </w:r>
            <w:r>
              <w:rPr>
                <w:b/>
                <w:noProof/>
                <w:sz w:val="24"/>
                <w:szCs w:val="24"/>
              </w:rPr>
              <w:t xml:space="preserve"> the Maori Advisory Committee.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</w:tbl>
    <w:p w:rsidR="00760FC7" w:rsidRDefault="00760FC7" w:rsidP="00760FC7">
      <w:pPr>
        <w:jc w:val="center"/>
        <w:rPr>
          <w:b/>
          <w:sz w:val="24"/>
          <w:szCs w:val="24"/>
        </w:rPr>
      </w:pPr>
    </w:p>
    <w:p w:rsidR="00760FC7" w:rsidRPr="00070531" w:rsidRDefault="000916E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Next Meeting:</w:t>
      </w:r>
      <w:r w:rsidR="00E41D9D">
        <w:rPr>
          <w:b/>
          <w:sz w:val="24"/>
          <w:szCs w:val="24"/>
        </w:rPr>
        <w:t xml:space="preserve">  24 November 2016</w:t>
      </w:r>
    </w:p>
    <w:sectPr w:rsidR="00760FC7" w:rsidRPr="0007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AD0"/>
    <w:multiLevelType w:val="hybridMultilevel"/>
    <w:tmpl w:val="12B891C4"/>
    <w:lvl w:ilvl="0" w:tplc="F0464B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7416"/>
    <w:multiLevelType w:val="hybridMultilevel"/>
    <w:tmpl w:val="81E49EA2"/>
    <w:lvl w:ilvl="0" w:tplc="92D6C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54059"/>
    <w:multiLevelType w:val="hybridMultilevel"/>
    <w:tmpl w:val="7C24F0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7815"/>
    <w:multiLevelType w:val="hybridMultilevel"/>
    <w:tmpl w:val="7C24F0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CwtDCwMDIzNTE3NjRV0lEKTi0uzszPAykwrAUAImXtTCwAAAA="/>
  </w:docVars>
  <w:rsids>
    <w:rsidRoot w:val="000916E2"/>
    <w:rsid w:val="00070531"/>
    <w:rsid w:val="000916E2"/>
    <w:rsid w:val="004B4255"/>
    <w:rsid w:val="00760FC7"/>
    <w:rsid w:val="007A5671"/>
    <w:rsid w:val="008071F7"/>
    <w:rsid w:val="00907636"/>
    <w:rsid w:val="00E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401800\401807NZ\Summary%20of%20IPONZ%20Technical%20Focus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 of IPONZ Technical Focus Group.dotx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Robertson</dc:creator>
  <cp:lastModifiedBy>Tom Robertson</cp:lastModifiedBy>
  <cp:revision>3</cp:revision>
  <cp:lastPrinted>2016-09-21T02:22:00Z</cp:lastPrinted>
  <dcterms:created xsi:type="dcterms:W3CDTF">2016-09-21T03:39:00Z</dcterms:created>
  <dcterms:modified xsi:type="dcterms:W3CDTF">2016-09-21T03:39:00Z</dcterms:modified>
</cp:coreProperties>
</file>