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8A" w:rsidRPr="00E10C43" w:rsidRDefault="005F1439" w:rsidP="00EA038A">
      <w:pPr>
        <w:spacing w:after="0" w:line="240" w:lineRule="auto"/>
        <w:rPr>
          <w:rFonts w:ascii="Arial" w:eastAsia="Times New Roman" w:hAnsi="Arial" w:cs="Arial"/>
          <w:b/>
          <w:bCs/>
          <w:sz w:val="20"/>
          <w:szCs w:val="20"/>
          <w:lang w:eastAsia="en-NZ"/>
        </w:rPr>
      </w:pPr>
      <w:bookmarkStart w:id="0" w:name="_GoBack"/>
      <w:bookmarkEnd w:id="0"/>
      <w:r w:rsidRPr="005F1439">
        <w:rPr>
          <w:rFonts w:ascii="Arial" w:eastAsia="Times New Roman" w:hAnsi="Arial" w:cs="Arial"/>
          <w:b/>
          <w:bCs/>
          <w:sz w:val="20"/>
          <w:szCs w:val="20"/>
          <w:lang w:eastAsia="en-NZ"/>
        </w:rPr>
        <w:t>Section 8: The meaning of prior art base</w:t>
      </w:r>
    </w:p>
    <w:p w:rsidR="00EA038A" w:rsidRPr="00EA038A" w:rsidRDefault="00EA038A" w:rsidP="00EA038A">
      <w:pPr>
        <w:spacing w:after="0" w:line="240" w:lineRule="auto"/>
        <w:ind w:left="540"/>
        <w:rPr>
          <w:rFonts w:ascii="Arial" w:eastAsia="Times New Roman" w:hAnsi="Arial" w:cs="Arial"/>
          <w:b/>
          <w:bCs/>
          <w:sz w:val="20"/>
          <w:szCs w:val="20"/>
          <w:lang w:eastAsia="en-NZ"/>
        </w:rPr>
      </w:pPr>
    </w:p>
    <w:p w:rsidR="00EA038A" w:rsidRPr="00EA038A" w:rsidRDefault="00EA038A" w:rsidP="00EA038A">
      <w:pPr>
        <w:spacing w:after="0" w:line="288" w:lineRule="atLeast"/>
        <w:ind w:right="240"/>
        <w:textAlignment w:val="baseline"/>
        <w:rPr>
          <w:rFonts w:ascii="Arial" w:eastAsia="Times New Roman" w:hAnsi="Arial" w:cs="Arial"/>
          <w:i/>
          <w:color w:val="000000"/>
          <w:sz w:val="20"/>
          <w:szCs w:val="20"/>
          <w:lang w:eastAsia="en-NZ"/>
        </w:rPr>
      </w:pPr>
      <w:r w:rsidRPr="00E10C43">
        <w:rPr>
          <w:rFonts w:ascii="Arial" w:eastAsia="Times New Roman" w:hAnsi="Arial" w:cs="Arial"/>
          <w:i/>
          <w:color w:val="000000"/>
          <w:sz w:val="20"/>
          <w:szCs w:val="20"/>
          <w:bdr w:val="none" w:sz="0" w:space="0" w:color="auto" w:frame="1"/>
          <w:lang w:eastAsia="en-NZ"/>
        </w:rPr>
        <w:t xml:space="preserve">(1) </w:t>
      </w:r>
      <w:r w:rsidRPr="00EA038A">
        <w:rPr>
          <w:rFonts w:ascii="Arial" w:eastAsia="Times New Roman" w:hAnsi="Arial" w:cs="Arial"/>
          <w:i/>
          <w:color w:val="000000"/>
          <w:sz w:val="20"/>
          <w:szCs w:val="20"/>
          <w:lang w:eastAsia="en-NZ"/>
        </w:rPr>
        <w:t>For the purpose of deciding whether or not an invention is novel and for the purpose of deciding whether or not an invention involves an inventive step, the</w:t>
      </w:r>
      <w:r w:rsidRPr="00E10C43">
        <w:rPr>
          <w:rFonts w:ascii="Arial" w:eastAsia="Times New Roman" w:hAnsi="Arial" w:cs="Arial"/>
          <w:i/>
          <w:color w:val="000000"/>
          <w:sz w:val="20"/>
          <w:szCs w:val="20"/>
          <w:lang w:eastAsia="en-NZ"/>
        </w:rPr>
        <w:t> </w:t>
      </w:r>
      <w:r w:rsidRPr="00E10C43">
        <w:rPr>
          <w:rFonts w:ascii="Arial" w:eastAsia="Times New Roman" w:hAnsi="Arial" w:cs="Arial"/>
          <w:b/>
          <w:bCs/>
          <w:i/>
          <w:color w:val="000000"/>
          <w:sz w:val="20"/>
          <w:szCs w:val="20"/>
          <w:bdr w:val="none" w:sz="0" w:space="0" w:color="auto" w:frame="1"/>
          <w:lang w:eastAsia="en-NZ"/>
        </w:rPr>
        <w:t>prior art base</w:t>
      </w:r>
      <w:r w:rsidRPr="00EA038A">
        <w:rPr>
          <w:rFonts w:ascii="Arial" w:eastAsia="Times New Roman" w:hAnsi="Arial" w:cs="Arial"/>
          <w:i/>
          <w:color w:val="000000"/>
          <w:sz w:val="20"/>
          <w:szCs w:val="20"/>
          <w:lang w:eastAsia="en-NZ"/>
        </w:rPr>
        <w:t>, in relation to an invention so far as claimed in a claim, means all matter (whether a product, a process, information about a product or process, or anything else) that has at any time before the priority date of that claim been made available to the public (whether in New Zealand or elsewhere) by written or oral description, by use, or in any other way.</w:t>
      </w:r>
    </w:p>
    <w:p w:rsidR="00E10C43" w:rsidRPr="00E10C43" w:rsidRDefault="00E10C43" w:rsidP="00EA038A">
      <w:pPr>
        <w:spacing w:after="0" w:line="288" w:lineRule="atLeast"/>
        <w:ind w:right="240"/>
        <w:textAlignment w:val="baseline"/>
        <w:rPr>
          <w:rFonts w:ascii="Arial" w:eastAsia="Times New Roman" w:hAnsi="Arial" w:cs="Arial"/>
          <w:i/>
          <w:color w:val="000000"/>
          <w:sz w:val="20"/>
          <w:szCs w:val="20"/>
          <w:bdr w:val="none" w:sz="0" w:space="0" w:color="auto" w:frame="1"/>
          <w:lang w:eastAsia="en-NZ"/>
        </w:rPr>
      </w:pPr>
    </w:p>
    <w:p w:rsidR="00EA038A" w:rsidRPr="00EA038A" w:rsidRDefault="00EA038A" w:rsidP="00EA038A">
      <w:pPr>
        <w:spacing w:after="0" w:line="288" w:lineRule="atLeast"/>
        <w:ind w:right="240"/>
        <w:textAlignment w:val="baseline"/>
        <w:rPr>
          <w:rFonts w:ascii="Arial" w:eastAsia="Times New Roman" w:hAnsi="Arial" w:cs="Arial"/>
          <w:i/>
          <w:color w:val="000000"/>
          <w:sz w:val="20"/>
          <w:szCs w:val="20"/>
          <w:lang w:eastAsia="en-NZ"/>
        </w:rPr>
      </w:pPr>
      <w:r w:rsidRPr="00E10C43">
        <w:rPr>
          <w:rFonts w:ascii="Arial" w:eastAsia="Times New Roman" w:hAnsi="Arial" w:cs="Arial"/>
          <w:i/>
          <w:color w:val="000000"/>
          <w:sz w:val="20"/>
          <w:szCs w:val="20"/>
          <w:bdr w:val="none" w:sz="0" w:space="0" w:color="auto" w:frame="1"/>
          <w:lang w:eastAsia="en-NZ"/>
        </w:rPr>
        <w:t xml:space="preserve">(2) </w:t>
      </w:r>
      <w:r w:rsidRPr="00EA038A">
        <w:rPr>
          <w:rFonts w:ascii="Arial" w:eastAsia="Times New Roman" w:hAnsi="Arial" w:cs="Arial"/>
          <w:i/>
          <w:color w:val="000000"/>
          <w:sz w:val="20"/>
          <w:szCs w:val="20"/>
          <w:lang w:eastAsia="en-NZ"/>
        </w:rPr>
        <w:t>For the purpose of deciding whether or not an invention is novel, the</w:t>
      </w:r>
      <w:r w:rsidRPr="00E10C43">
        <w:rPr>
          <w:rFonts w:ascii="Arial" w:eastAsia="Times New Roman" w:hAnsi="Arial" w:cs="Arial"/>
          <w:i/>
          <w:color w:val="000000"/>
          <w:sz w:val="20"/>
          <w:szCs w:val="20"/>
          <w:lang w:eastAsia="en-NZ"/>
        </w:rPr>
        <w:t> </w:t>
      </w:r>
      <w:r w:rsidRPr="00E10C43">
        <w:rPr>
          <w:rFonts w:ascii="Arial" w:eastAsia="Times New Roman" w:hAnsi="Arial" w:cs="Arial"/>
          <w:b/>
          <w:bCs/>
          <w:i/>
          <w:color w:val="000000"/>
          <w:sz w:val="20"/>
          <w:szCs w:val="20"/>
          <w:bdr w:val="none" w:sz="0" w:space="0" w:color="auto" w:frame="1"/>
          <w:lang w:eastAsia="en-NZ"/>
        </w:rPr>
        <w:t>prior art base</w:t>
      </w:r>
      <w:r w:rsidRPr="00EA038A">
        <w:rPr>
          <w:rFonts w:ascii="Arial" w:eastAsia="Times New Roman" w:hAnsi="Arial" w:cs="Arial"/>
          <w:i/>
          <w:color w:val="000000"/>
          <w:sz w:val="20"/>
          <w:szCs w:val="20"/>
          <w:lang w:eastAsia="en-NZ"/>
        </w:rPr>
        <w:t>, in relation to an invention so far as claimed in a claim, also includes the information contained in a complete specification filed in respect of another patent application if all of the following circumstances apply:</w:t>
      </w:r>
    </w:p>
    <w:p w:rsidR="00E10C43" w:rsidRPr="00E10C43" w:rsidRDefault="00E10C43" w:rsidP="00EA038A">
      <w:pPr>
        <w:spacing w:after="0" w:line="288" w:lineRule="atLeast"/>
        <w:ind w:right="240"/>
        <w:textAlignment w:val="baseline"/>
        <w:rPr>
          <w:rFonts w:ascii="Arial" w:eastAsia="Times New Roman" w:hAnsi="Arial" w:cs="Arial"/>
          <w:i/>
          <w:color w:val="000000"/>
          <w:sz w:val="20"/>
          <w:szCs w:val="20"/>
          <w:bdr w:val="none" w:sz="0" w:space="0" w:color="auto" w:frame="1"/>
          <w:lang w:eastAsia="en-NZ"/>
        </w:rPr>
      </w:pPr>
    </w:p>
    <w:p w:rsidR="00EA038A" w:rsidRPr="00EA038A" w:rsidRDefault="00EA038A" w:rsidP="00E10C43">
      <w:pPr>
        <w:spacing w:after="0" w:line="288" w:lineRule="atLeast"/>
        <w:ind w:left="720" w:right="240"/>
        <w:textAlignment w:val="baseline"/>
        <w:rPr>
          <w:rFonts w:ascii="Arial" w:eastAsia="Times New Roman" w:hAnsi="Arial" w:cs="Arial"/>
          <w:i/>
          <w:color w:val="000000"/>
          <w:sz w:val="20"/>
          <w:szCs w:val="20"/>
          <w:lang w:eastAsia="en-NZ"/>
        </w:rPr>
      </w:pPr>
      <w:r w:rsidRPr="00E10C43">
        <w:rPr>
          <w:rFonts w:ascii="Arial" w:eastAsia="Times New Roman" w:hAnsi="Arial" w:cs="Arial"/>
          <w:i/>
          <w:color w:val="000000"/>
          <w:sz w:val="20"/>
          <w:szCs w:val="20"/>
          <w:bdr w:val="none" w:sz="0" w:space="0" w:color="auto" w:frame="1"/>
          <w:lang w:eastAsia="en-NZ"/>
        </w:rPr>
        <w:t xml:space="preserve">(a) </w:t>
      </w:r>
      <w:r w:rsidRPr="00EA038A">
        <w:rPr>
          <w:rFonts w:ascii="Arial" w:eastAsia="Times New Roman" w:hAnsi="Arial" w:cs="Arial"/>
          <w:i/>
          <w:color w:val="000000"/>
          <w:sz w:val="20"/>
          <w:szCs w:val="20"/>
          <w:lang w:eastAsia="en-NZ"/>
        </w:rPr>
        <w:t>if the information is, or were to be, the subject of a claim of that complete specification, the claim has, or would have, a priority date earlier than that of the claim under consideration; and</w:t>
      </w:r>
    </w:p>
    <w:p w:rsidR="00E10C43" w:rsidRPr="00E10C43" w:rsidRDefault="00E10C43" w:rsidP="00EA038A">
      <w:pPr>
        <w:spacing w:after="0" w:line="288" w:lineRule="atLeast"/>
        <w:ind w:right="240"/>
        <w:textAlignment w:val="baseline"/>
        <w:rPr>
          <w:rFonts w:ascii="Arial" w:eastAsia="Times New Roman" w:hAnsi="Arial" w:cs="Arial"/>
          <w:i/>
          <w:color w:val="000000"/>
          <w:sz w:val="20"/>
          <w:szCs w:val="20"/>
          <w:bdr w:val="none" w:sz="0" w:space="0" w:color="auto" w:frame="1"/>
          <w:lang w:eastAsia="en-NZ"/>
        </w:rPr>
      </w:pPr>
    </w:p>
    <w:p w:rsidR="00EA038A" w:rsidRPr="00EA038A" w:rsidRDefault="00EA038A" w:rsidP="00E10C43">
      <w:pPr>
        <w:spacing w:after="0" w:line="288" w:lineRule="atLeast"/>
        <w:ind w:left="720" w:right="240"/>
        <w:textAlignment w:val="baseline"/>
        <w:rPr>
          <w:rFonts w:ascii="Arial" w:eastAsia="Times New Roman" w:hAnsi="Arial" w:cs="Arial"/>
          <w:i/>
          <w:color w:val="000000"/>
          <w:sz w:val="20"/>
          <w:szCs w:val="20"/>
          <w:lang w:eastAsia="en-NZ"/>
        </w:rPr>
      </w:pPr>
      <w:r w:rsidRPr="00E10C43">
        <w:rPr>
          <w:rFonts w:ascii="Arial" w:eastAsia="Times New Roman" w:hAnsi="Arial" w:cs="Arial"/>
          <w:i/>
          <w:color w:val="000000"/>
          <w:sz w:val="20"/>
          <w:szCs w:val="20"/>
          <w:bdr w:val="none" w:sz="0" w:space="0" w:color="auto" w:frame="1"/>
          <w:lang w:eastAsia="en-NZ"/>
        </w:rPr>
        <w:t xml:space="preserve">(b) </w:t>
      </w:r>
      <w:r w:rsidRPr="00EA038A">
        <w:rPr>
          <w:rFonts w:ascii="Arial" w:eastAsia="Times New Roman" w:hAnsi="Arial" w:cs="Arial"/>
          <w:i/>
          <w:color w:val="000000"/>
          <w:sz w:val="20"/>
          <w:szCs w:val="20"/>
          <w:lang w:eastAsia="en-NZ"/>
        </w:rPr>
        <w:t>that complete specification became open to public inspection after the priority date of the claim under consideration; and</w:t>
      </w:r>
    </w:p>
    <w:p w:rsidR="00E10C43" w:rsidRPr="00E10C43" w:rsidRDefault="00E10C43" w:rsidP="00EA038A">
      <w:pPr>
        <w:spacing w:after="0" w:line="288" w:lineRule="atLeast"/>
        <w:ind w:right="240"/>
        <w:textAlignment w:val="baseline"/>
        <w:rPr>
          <w:rFonts w:ascii="Arial" w:eastAsia="Times New Roman" w:hAnsi="Arial" w:cs="Arial"/>
          <w:i/>
          <w:color w:val="000000"/>
          <w:sz w:val="20"/>
          <w:szCs w:val="20"/>
          <w:bdr w:val="none" w:sz="0" w:space="0" w:color="auto" w:frame="1"/>
          <w:lang w:eastAsia="en-NZ"/>
        </w:rPr>
      </w:pPr>
    </w:p>
    <w:p w:rsidR="00EA038A" w:rsidRPr="00E10C43" w:rsidRDefault="00EA038A" w:rsidP="00E10C43">
      <w:pPr>
        <w:spacing w:after="0" w:line="288" w:lineRule="atLeast"/>
        <w:ind w:left="720" w:right="240"/>
        <w:textAlignment w:val="baseline"/>
        <w:rPr>
          <w:rFonts w:ascii="Arial" w:eastAsia="Times New Roman" w:hAnsi="Arial" w:cs="Arial"/>
          <w:i/>
          <w:color w:val="000000"/>
          <w:sz w:val="20"/>
          <w:szCs w:val="20"/>
          <w:lang w:eastAsia="en-NZ"/>
        </w:rPr>
      </w:pPr>
      <w:r w:rsidRPr="00E10C43">
        <w:rPr>
          <w:rFonts w:ascii="Arial" w:eastAsia="Times New Roman" w:hAnsi="Arial" w:cs="Arial"/>
          <w:i/>
          <w:color w:val="000000"/>
          <w:sz w:val="20"/>
          <w:szCs w:val="20"/>
          <w:bdr w:val="none" w:sz="0" w:space="0" w:color="auto" w:frame="1"/>
          <w:lang w:eastAsia="en-NZ"/>
        </w:rPr>
        <w:t xml:space="preserve">(c) </w:t>
      </w:r>
      <w:r w:rsidRPr="00EA038A">
        <w:rPr>
          <w:rFonts w:ascii="Arial" w:eastAsia="Times New Roman" w:hAnsi="Arial" w:cs="Arial"/>
          <w:i/>
          <w:color w:val="000000"/>
          <w:sz w:val="20"/>
          <w:szCs w:val="20"/>
          <w:lang w:eastAsia="en-NZ"/>
        </w:rPr>
        <w:t>the information was contained in that complete specification on its filing date and when it became open to public inspection.</w:t>
      </w:r>
    </w:p>
    <w:p w:rsidR="00506F07" w:rsidRPr="00E10C43" w:rsidRDefault="00506F07" w:rsidP="00506F07">
      <w:pPr>
        <w:spacing w:after="0" w:line="288" w:lineRule="atLeast"/>
        <w:textAlignment w:val="baseline"/>
        <w:rPr>
          <w:rFonts w:ascii="Arial" w:eastAsia="Times New Roman" w:hAnsi="Arial" w:cs="Arial"/>
          <w:i/>
          <w:color w:val="000000"/>
          <w:sz w:val="20"/>
          <w:szCs w:val="20"/>
          <w:lang w:eastAsia="en-NZ"/>
        </w:rPr>
      </w:pPr>
    </w:p>
    <w:p w:rsidR="00EA038A" w:rsidRDefault="00EA038A" w:rsidP="00506F07">
      <w:pPr>
        <w:spacing w:after="0" w:line="288" w:lineRule="atLeast"/>
        <w:textAlignment w:val="baseline"/>
        <w:rPr>
          <w:rFonts w:ascii="Arial" w:eastAsia="Times New Roman" w:hAnsi="Arial" w:cs="Arial"/>
          <w:color w:val="000000"/>
          <w:sz w:val="20"/>
          <w:szCs w:val="20"/>
          <w:lang w:eastAsia="en-NZ"/>
        </w:rPr>
      </w:pPr>
      <w:r w:rsidRPr="00EA038A">
        <w:rPr>
          <w:rFonts w:ascii="Arial" w:eastAsia="Times New Roman" w:hAnsi="Arial" w:cs="Arial"/>
          <w:color w:val="000000"/>
          <w:sz w:val="20"/>
          <w:szCs w:val="20"/>
          <w:lang w:eastAsia="en-NZ"/>
        </w:rPr>
        <w:t>Compare: Patents Act 1977 s 2(2) (UK)</w:t>
      </w:r>
    </w:p>
    <w:p w:rsidR="009F64BD" w:rsidRDefault="009F64BD" w:rsidP="009F64BD">
      <w:pPr>
        <w:spacing w:after="0" w:line="240" w:lineRule="auto"/>
        <w:rPr>
          <w:rFonts w:ascii="Arial" w:eastAsia="Times New Roman" w:hAnsi="Arial" w:cs="Arial"/>
          <w:color w:val="000000"/>
          <w:sz w:val="20"/>
          <w:szCs w:val="20"/>
          <w:lang w:eastAsia="en-NZ"/>
        </w:rPr>
      </w:pPr>
    </w:p>
    <w:p w:rsidR="009F64BD" w:rsidRPr="005F1439" w:rsidRDefault="009F64BD" w:rsidP="009F64BD">
      <w:pPr>
        <w:spacing w:after="240" w:line="240" w:lineRule="auto"/>
        <w:ind w:firstLine="540"/>
        <w:textAlignment w:val="center"/>
        <w:rPr>
          <w:rFonts w:ascii="Arial" w:eastAsia="Times New Roman" w:hAnsi="Arial" w:cs="Arial"/>
          <w:b/>
          <w:bCs/>
          <w:i/>
          <w:sz w:val="20"/>
          <w:szCs w:val="20"/>
          <w:lang w:eastAsia="en-NZ"/>
        </w:rPr>
      </w:pPr>
      <w:r w:rsidRPr="009F64BD">
        <w:rPr>
          <w:rFonts w:ascii="Arial" w:eastAsia="Times New Roman" w:hAnsi="Arial" w:cs="Arial"/>
          <w:b/>
          <w:i/>
          <w:color w:val="000000"/>
          <w:sz w:val="24"/>
          <w:szCs w:val="24"/>
          <w:lang w:eastAsia="en-NZ"/>
        </w:rPr>
        <w:t>P</w:t>
      </w:r>
      <w:r w:rsidRPr="009F64BD">
        <w:rPr>
          <w:rFonts w:ascii="Arial" w:eastAsia="Times New Roman" w:hAnsi="Arial" w:cs="Arial"/>
          <w:b/>
          <w:bCs/>
          <w:i/>
          <w:sz w:val="24"/>
          <w:szCs w:val="24"/>
          <w:lang w:eastAsia="en-NZ"/>
        </w:rPr>
        <w:t>rior art base – general</w:t>
      </w:r>
    </w:p>
    <w:p w:rsidR="005F1439" w:rsidRPr="00E10C43" w:rsidRDefault="005F1439" w:rsidP="005F1439">
      <w:pPr>
        <w:numPr>
          <w:ilvl w:val="0"/>
          <w:numId w:val="26"/>
        </w:numPr>
        <w:spacing w:after="0" w:line="240" w:lineRule="auto"/>
        <w:ind w:left="540"/>
        <w:textAlignment w:val="center"/>
        <w:rPr>
          <w:rFonts w:ascii="Arial" w:eastAsia="Times New Roman" w:hAnsi="Arial" w:cs="Arial"/>
          <w:sz w:val="20"/>
          <w:szCs w:val="20"/>
          <w:lang w:eastAsia="en-NZ"/>
        </w:rPr>
      </w:pPr>
      <w:r w:rsidRPr="005F1439">
        <w:rPr>
          <w:rFonts w:ascii="Arial" w:eastAsia="Times New Roman" w:hAnsi="Arial" w:cs="Arial"/>
          <w:sz w:val="20"/>
          <w:szCs w:val="20"/>
          <w:lang w:eastAsia="en-NZ"/>
        </w:rPr>
        <w:t> </w:t>
      </w:r>
      <w:r w:rsidR="00E10C43" w:rsidRPr="00E10C43">
        <w:rPr>
          <w:rFonts w:ascii="Arial" w:eastAsia="Times New Roman" w:hAnsi="Arial" w:cs="Arial"/>
          <w:color w:val="000000"/>
          <w:sz w:val="24"/>
          <w:szCs w:val="24"/>
          <w:lang w:eastAsia="en-NZ"/>
        </w:rPr>
        <w:t xml:space="preserve">For an invention to be patentable it must be novel over what is already known from the prior art base. Assessment of novelty of a claimed invention is based on whether all of the features of that claim are known from a single prior art document, see for example </w:t>
      </w:r>
      <w:r w:rsidR="00E10C43" w:rsidRPr="00E10C43">
        <w:rPr>
          <w:rFonts w:ascii="Arial" w:eastAsia="Times New Roman" w:hAnsi="Arial" w:cs="Arial"/>
          <w:i/>
          <w:color w:val="000000"/>
          <w:sz w:val="24"/>
          <w:szCs w:val="24"/>
          <w:lang w:eastAsia="en-NZ"/>
        </w:rPr>
        <w:t>Ammonia’s Application</w:t>
      </w:r>
      <w:r w:rsidR="00E10C43" w:rsidRPr="00E10C43">
        <w:rPr>
          <w:rFonts w:ascii="Arial" w:eastAsia="Times New Roman" w:hAnsi="Arial" w:cs="Arial"/>
          <w:color w:val="000000"/>
          <w:sz w:val="24"/>
          <w:szCs w:val="24"/>
          <w:lang w:eastAsia="en-NZ"/>
        </w:rPr>
        <w:t xml:space="preserve">, 49 RPC 409. A mosaic of more than one document to find lack of novelty is not permissible, see for example  </w:t>
      </w:r>
      <w:r w:rsidR="00E10C43" w:rsidRPr="00E10C43">
        <w:rPr>
          <w:rFonts w:ascii="Arial" w:eastAsia="Times New Roman" w:hAnsi="Arial" w:cs="Arial"/>
          <w:i/>
          <w:color w:val="000000"/>
          <w:sz w:val="24"/>
          <w:szCs w:val="24"/>
          <w:lang w:eastAsia="en-NZ"/>
        </w:rPr>
        <w:t>British Ore Concentration Syndicate v Mineral Separation Ltd</w:t>
      </w:r>
      <w:r w:rsidR="00E10C43" w:rsidRPr="00E10C43">
        <w:rPr>
          <w:rFonts w:ascii="Arial" w:eastAsia="Times New Roman" w:hAnsi="Arial" w:cs="Arial"/>
          <w:color w:val="000000"/>
          <w:sz w:val="24"/>
          <w:szCs w:val="24"/>
          <w:lang w:eastAsia="en-NZ"/>
        </w:rPr>
        <w:t xml:space="preserve">, 26 RPC 124 at page 147, and </w:t>
      </w:r>
      <w:r w:rsidR="00E10C43" w:rsidRPr="00E10C43">
        <w:rPr>
          <w:rFonts w:ascii="Arial" w:eastAsia="Times New Roman" w:hAnsi="Arial" w:cs="Arial"/>
          <w:i/>
          <w:color w:val="000000"/>
          <w:sz w:val="24"/>
          <w:szCs w:val="24"/>
          <w:lang w:eastAsia="en-NZ"/>
        </w:rPr>
        <w:t>Lowndes’ Patent</w:t>
      </w:r>
      <w:r w:rsidR="00E10C43" w:rsidRPr="00E10C43">
        <w:rPr>
          <w:rFonts w:ascii="Arial" w:eastAsia="Times New Roman" w:hAnsi="Arial" w:cs="Arial"/>
          <w:color w:val="000000"/>
          <w:sz w:val="24"/>
          <w:szCs w:val="24"/>
          <w:lang w:eastAsia="en-NZ"/>
        </w:rPr>
        <w:t xml:space="preserve"> 45 RPC 48 at page 57.  Where it appears that a combination of more than one document would anticipate a claimed invention, then it is possible that these documents could be combined to find a lack of inventiveness i.e. the invention is obvious. </w:t>
      </w:r>
    </w:p>
    <w:p w:rsidR="00E10C43" w:rsidRPr="005F1439" w:rsidRDefault="00E10C43" w:rsidP="00E10C43">
      <w:pPr>
        <w:spacing w:after="0" w:line="240" w:lineRule="auto"/>
        <w:ind w:left="540"/>
        <w:textAlignment w:val="center"/>
        <w:rPr>
          <w:rFonts w:ascii="Arial" w:eastAsia="Times New Roman" w:hAnsi="Arial" w:cs="Arial"/>
          <w:sz w:val="20"/>
          <w:szCs w:val="20"/>
          <w:lang w:eastAsia="en-NZ"/>
        </w:rPr>
      </w:pP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 xml:space="preserve">The prior art base includes all matter including products, use, information about a product or process or 'anything else' made available by written or oral description, by use, or in any other way at </w:t>
      </w:r>
      <w:proofErr w:type="spellStart"/>
      <w:r w:rsidRPr="005F1439">
        <w:rPr>
          <w:rFonts w:ascii="Arial" w:eastAsia="Times New Roman" w:hAnsi="Arial" w:cs="Arial"/>
          <w:color w:val="000000"/>
          <w:sz w:val="24"/>
          <w:szCs w:val="24"/>
          <w:lang w:eastAsia="en-NZ"/>
        </w:rPr>
        <w:t>any time</w:t>
      </w:r>
      <w:proofErr w:type="spellEnd"/>
      <w:r w:rsidRPr="005F1439">
        <w:rPr>
          <w:rFonts w:ascii="Arial" w:eastAsia="Times New Roman" w:hAnsi="Arial" w:cs="Arial"/>
          <w:color w:val="000000"/>
          <w:sz w:val="24"/>
          <w:szCs w:val="24"/>
          <w:lang w:eastAsia="en-NZ"/>
        </w:rPr>
        <w:t xml:space="preserve">, anywhere and in any language. Novelty is assessed strictly as at the date of publication of the document which is purported to be novelty destroying, or the date of the alleged prior use </w:t>
      </w:r>
      <w:proofErr w:type="spellStart"/>
      <w:r w:rsidRPr="005F1439">
        <w:rPr>
          <w:rFonts w:ascii="Arial" w:eastAsia="Times New Roman" w:hAnsi="Arial" w:cs="Arial"/>
          <w:i/>
          <w:color w:val="000000"/>
          <w:sz w:val="24"/>
          <w:szCs w:val="24"/>
          <w:lang w:eastAsia="en-NZ"/>
        </w:rPr>
        <w:t>Yeda</w:t>
      </w:r>
      <w:proofErr w:type="spellEnd"/>
      <w:r w:rsidRPr="005F1439">
        <w:rPr>
          <w:rFonts w:ascii="Arial" w:eastAsia="Times New Roman" w:hAnsi="Arial" w:cs="Arial"/>
          <w:i/>
          <w:color w:val="000000"/>
          <w:sz w:val="24"/>
          <w:szCs w:val="24"/>
          <w:lang w:eastAsia="en-NZ"/>
        </w:rPr>
        <w:t xml:space="preserve"> Research &amp; Development Company v Rhone-Poulenc Rorer</w:t>
      </w:r>
      <w:r w:rsidRPr="005F1439">
        <w:rPr>
          <w:rFonts w:ascii="Arial" w:eastAsia="Times New Roman" w:hAnsi="Arial" w:cs="Arial"/>
          <w:color w:val="000000"/>
          <w:sz w:val="24"/>
          <w:szCs w:val="24"/>
          <w:lang w:eastAsia="en-NZ"/>
        </w:rPr>
        <w:t xml:space="preserve"> [2007] UKHL 43. The date of publication or date of alleged prior use must be earlier than the priority date of the claimed invention to be citable as a prior publication or use.</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lastRenderedPageBreak/>
        <w:t>The majority of the prior art will be written disclosures in books, journals and patent specifications. There is no time limit on the age of the matter which may be considered as prior art. This is a change from the Patents Act 1953, section 59(1)(a) &amp; (b) which placed a 50 year time limit on patent specifications which may be used to anticipate a later claimed invention.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The prior art base also includes non-written disclosures such as use and oral disclosure. Examples of non-written disclosures include sound recordings, videos, and public use (such as demonstrations, displays and trial samples of a product).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 xml:space="preserve">The definition of "made available to the public" was determined in </w:t>
      </w:r>
      <w:r w:rsidRPr="005F1439">
        <w:rPr>
          <w:rFonts w:ascii="Arial" w:eastAsia="Times New Roman" w:hAnsi="Arial" w:cs="Arial"/>
          <w:i/>
          <w:color w:val="000000"/>
          <w:sz w:val="24"/>
          <w:szCs w:val="24"/>
          <w:lang w:eastAsia="en-NZ"/>
        </w:rPr>
        <w:t>Bristol Myers</w:t>
      </w:r>
      <w:r w:rsidRPr="005F1439">
        <w:rPr>
          <w:rFonts w:ascii="Arial" w:eastAsia="Times New Roman" w:hAnsi="Arial" w:cs="Arial"/>
          <w:color w:val="000000"/>
          <w:sz w:val="24"/>
          <w:szCs w:val="24"/>
          <w:lang w:eastAsia="en-NZ"/>
        </w:rPr>
        <w:t xml:space="preserve"> [1969] RPC 146 to be whether the document was communicated to a member of the public who was then free to do what they wished with it. Communication to a single member of the public without inhibition was considered to be sufficient to amount to making the material available to the public.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 xml:space="preserve">On the other hand, if the disclosure was made to a person who knew that the design was confidential, then this may be considered secret use and would not form part of the prior art base and cannot be used as anticipation. Employees would </w:t>
      </w:r>
      <w:proofErr w:type="gramStart"/>
      <w:r w:rsidRPr="005F1439">
        <w:rPr>
          <w:rFonts w:ascii="Arial" w:eastAsia="Times New Roman" w:hAnsi="Arial" w:cs="Arial"/>
          <w:color w:val="000000"/>
          <w:sz w:val="24"/>
          <w:szCs w:val="24"/>
          <w:lang w:eastAsia="en-NZ"/>
        </w:rPr>
        <w:t>deemed</w:t>
      </w:r>
      <w:proofErr w:type="gramEnd"/>
      <w:r w:rsidRPr="005F1439">
        <w:rPr>
          <w:rFonts w:ascii="Arial" w:eastAsia="Times New Roman" w:hAnsi="Arial" w:cs="Arial"/>
          <w:color w:val="000000"/>
          <w:sz w:val="24"/>
          <w:szCs w:val="24"/>
          <w:lang w:eastAsia="en-NZ"/>
        </w:rPr>
        <w:t xml:space="preserve"> to be under an obligation of confidentiality in </w:t>
      </w:r>
      <w:r w:rsidRPr="005F1439">
        <w:rPr>
          <w:rFonts w:ascii="Arial" w:eastAsia="Times New Roman" w:hAnsi="Arial" w:cs="Arial"/>
          <w:i/>
          <w:color w:val="000000"/>
          <w:sz w:val="24"/>
          <w:szCs w:val="24"/>
          <w:lang w:eastAsia="en-NZ"/>
        </w:rPr>
        <w:t xml:space="preserve">J Lucas (Batteries) Ltd v </w:t>
      </w:r>
      <w:proofErr w:type="spellStart"/>
      <w:r w:rsidRPr="005F1439">
        <w:rPr>
          <w:rFonts w:ascii="Arial" w:eastAsia="Times New Roman" w:hAnsi="Arial" w:cs="Arial"/>
          <w:i/>
          <w:color w:val="000000"/>
          <w:sz w:val="24"/>
          <w:szCs w:val="24"/>
          <w:lang w:eastAsia="en-NZ"/>
        </w:rPr>
        <w:t>Gaedor</w:t>
      </w:r>
      <w:proofErr w:type="spellEnd"/>
      <w:r w:rsidRPr="005F1439">
        <w:rPr>
          <w:rFonts w:ascii="Arial" w:eastAsia="Times New Roman" w:hAnsi="Arial" w:cs="Arial"/>
          <w:i/>
          <w:color w:val="000000"/>
          <w:sz w:val="24"/>
          <w:szCs w:val="24"/>
          <w:lang w:eastAsia="en-NZ"/>
        </w:rPr>
        <w:t xml:space="preserve"> Ltd</w:t>
      </w:r>
      <w:r w:rsidRPr="005F1439">
        <w:rPr>
          <w:rFonts w:ascii="Arial" w:eastAsia="Times New Roman" w:hAnsi="Arial" w:cs="Arial"/>
          <w:color w:val="000000"/>
          <w:sz w:val="24"/>
          <w:szCs w:val="24"/>
          <w:lang w:eastAsia="en-NZ"/>
        </w:rPr>
        <w:t xml:space="preserve"> [1978] RPC 297.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 xml:space="preserve">The disclosure of the document should be construed as it would have been read by a person at the date of publication </w:t>
      </w:r>
      <w:r w:rsidRPr="005F1439">
        <w:rPr>
          <w:rFonts w:ascii="Arial" w:eastAsia="Times New Roman" w:hAnsi="Arial" w:cs="Arial"/>
          <w:i/>
          <w:color w:val="000000"/>
          <w:sz w:val="24"/>
          <w:szCs w:val="24"/>
          <w:lang w:eastAsia="en-NZ"/>
        </w:rPr>
        <w:t xml:space="preserve">SmithKline Beecham Plc v </w:t>
      </w:r>
      <w:proofErr w:type="spellStart"/>
      <w:r w:rsidRPr="005F1439">
        <w:rPr>
          <w:rFonts w:ascii="Arial" w:eastAsia="Times New Roman" w:hAnsi="Arial" w:cs="Arial"/>
          <w:i/>
          <w:color w:val="000000"/>
          <w:sz w:val="24"/>
          <w:szCs w:val="24"/>
          <w:lang w:eastAsia="en-NZ"/>
        </w:rPr>
        <w:t>Apotex</w:t>
      </w:r>
      <w:proofErr w:type="spellEnd"/>
      <w:r w:rsidRPr="005F1439">
        <w:rPr>
          <w:rFonts w:ascii="Arial" w:eastAsia="Times New Roman" w:hAnsi="Arial" w:cs="Arial"/>
          <w:i/>
          <w:color w:val="000000"/>
          <w:sz w:val="24"/>
          <w:szCs w:val="24"/>
          <w:lang w:eastAsia="en-NZ"/>
        </w:rPr>
        <w:t xml:space="preserve"> Europe</w:t>
      </w:r>
      <w:r w:rsidRPr="005F1439">
        <w:rPr>
          <w:rFonts w:ascii="Arial" w:eastAsia="Times New Roman" w:hAnsi="Arial" w:cs="Arial"/>
          <w:color w:val="000000"/>
          <w:sz w:val="24"/>
          <w:szCs w:val="24"/>
          <w:lang w:eastAsia="en-NZ"/>
        </w:rPr>
        <w:t xml:space="preserve"> [2005] FSR 23 of that document.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For documents to be considered to form part of the prior art base, the document does not need to be accessible without cost. For example, a journal article available on the internet for a fee would constitute prior art as long as it was made available before the priority date of the claimed invention.  </w:t>
      </w:r>
    </w:p>
    <w:p w:rsidR="005F1439" w:rsidRPr="005F1439" w:rsidRDefault="00554A68" w:rsidP="009F64BD">
      <w:pPr>
        <w:spacing w:after="240" w:line="240" w:lineRule="auto"/>
        <w:ind w:left="180" w:firstLine="360"/>
        <w:textAlignment w:val="center"/>
        <w:rPr>
          <w:rFonts w:ascii="Arial" w:eastAsia="Times New Roman" w:hAnsi="Arial" w:cs="Arial"/>
          <w:b/>
          <w:i/>
          <w:color w:val="000000"/>
          <w:sz w:val="24"/>
          <w:szCs w:val="24"/>
          <w:lang w:eastAsia="en-NZ"/>
        </w:rPr>
      </w:pPr>
      <w:r>
        <w:rPr>
          <w:rFonts w:ascii="Arial" w:eastAsia="Times New Roman" w:hAnsi="Arial" w:cs="Arial"/>
          <w:b/>
          <w:i/>
          <w:color w:val="000000"/>
          <w:sz w:val="24"/>
          <w:szCs w:val="24"/>
          <w:lang w:eastAsia="en-NZ"/>
        </w:rPr>
        <w:t xml:space="preserve">Section 8(2) </w:t>
      </w:r>
      <w:r w:rsidR="004D0C2A">
        <w:rPr>
          <w:rFonts w:ascii="Arial" w:eastAsia="Times New Roman" w:hAnsi="Arial" w:cs="Arial"/>
          <w:b/>
          <w:i/>
          <w:color w:val="000000"/>
          <w:sz w:val="24"/>
          <w:szCs w:val="24"/>
          <w:lang w:eastAsia="en-NZ"/>
        </w:rPr>
        <w:t>– ‘whole of contents’ lack of novelty</w:t>
      </w:r>
    </w:p>
    <w:p w:rsidR="00EF07EA" w:rsidRPr="009E62CD" w:rsidRDefault="004D0C2A" w:rsidP="001E13B2">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9E62CD">
        <w:rPr>
          <w:rFonts w:ascii="Arial" w:eastAsia="Times New Roman" w:hAnsi="Arial" w:cs="Arial"/>
          <w:color w:val="000000"/>
          <w:sz w:val="24"/>
          <w:szCs w:val="24"/>
          <w:lang w:eastAsia="en-NZ"/>
        </w:rPr>
        <w:t xml:space="preserve">Section 8(2) reflects the so-called </w:t>
      </w:r>
      <w:r w:rsidRPr="009E62CD">
        <w:rPr>
          <w:rFonts w:ascii="Arial" w:eastAsia="Times New Roman" w:hAnsi="Arial" w:cs="Arial"/>
          <w:i/>
          <w:color w:val="000000"/>
          <w:sz w:val="24"/>
          <w:szCs w:val="24"/>
          <w:lang w:eastAsia="en-NZ"/>
        </w:rPr>
        <w:t>whole of contents</w:t>
      </w:r>
      <w:r w:rsidRPr="009E62CD">
        <w:rPr>
          <w:rFonts w:ascii="Arial" w:eastAsia="Times New Roman" w:hAnsi="Arial" w:cs="Arial"/>
          <w:color w:val="000000"/>
          <w:sz w:val="24"/>
          <w:szCs w:val="24"/>
          <w:lang w:eastAsia="en-NZ"/>
        </w:rPr>
        <w:t xml:space="preserve"> approach to</w:t>
      </w:r>
      <w:r w:rsidR="00C720D2">
        <w:rPr>
          <w:rFonts w:ascii="Arial" w:eastAsia="Times New Roman" w:hAnsi="Arial" w:cs="Arial"/>
          <w:color w:val="000000"/>
          <w:sz w:val="24"/>
          <w:szCs w:val="24"/>
          <w:lang w:eastAsia="en-NZ"/>
        </w:rPr>
        <w:t xml:space="preserve"> identification of</w:t>
      </w:r>
      <w:r w:rsidRPr="009E62CD">
        <w:rPr>
          <w:rFonts w:ascii="Arial" w:eastAsia="Times New Roman" w:hAnsi="Arial" w:cs="Arial"/>
          <w:color w:val="000000"/>
          <w:sz w:val="24"/>
          <w:szCs w:val="24"/>
          <w:lang w:eastAsia="en-NZ"/>
        </w:rPr>
        <w:t xml:space="preserve"> </w:t>
      </w:r>
      <w:r w:rsidR="009E62CD">
        <w:rPr>
          <w:rFonts w:ascii="Arial" w:eastAsia="Times New Roman" w:hAnsi="Arial" w:cs="Arial"/>
          <w:color w:val="000000"/>
          <w:sz w:val="24"/>
          <w:szCs w:val="24"/>
          <w:lang w:eastAsia="en-NZ"/>
        </w:rPr>
        <w:t>the prior art base</w:t>
      </w:r>
      <w:r w:rsidRPr="009E62CD">
        <w:rPr>
          <w:rFonts w:ascii="Arial" w:eastAsia="Times New Roman" w:hAnsi="Arial" w:cs="Arial"/>
          <w:color w:val="000000"/>
          <w:sz w:val="24"/>
          <w:szCs w:val="24"/>
          <w:lang w:eastAsia="en-NZ"/>
        </w:rPr>
        <w:t xml:space="preserve"> for the purpose of assessing novelty in light of the content of </w:t>
      </w:r>
      <w:r w:rsidR="00EF07EA" w:rsidRPr="009E62CD">
        <w:rPr>
          <w:rFonts w:ascii="Arial" w:eastAsia="Times New Roman" w:hAnsi="Arial" w:cs="Arial"/>
          <w:color w:val="000000"/>
          <w:sz w:val="24"/>
          <w:szCs w:val="24"/>
          <w:lang w:eastAsia="en-NZ"/>
        </w:rPr>
        <w:t>‘</w:t>
      </w:r>
      <w:r w:rsidRPr="009E62CD">
        <w:rPr>
          <w:rFonts w:ascii="Arial" w:eastAsia="Times New Roman" w:hAnsi="Arial" w:cs="Arial"/>
          <w:color w:val="000000"/>
          <w:sz w:val="24"/>
          <w:szCs w:val="24"/>
          <w:lang w:eastAsia="en-NZ"/>
        </w:rPr>
        <w:t xml:space="preserve">another </w:t>
      </w:r>
      <w:r w:rsidR="00EF07EA" w:rsidRPr="009E62CD">
        <w:rPr>
          <w:rFonts w:ascii="Arial" w:eastAsia="Times New Roman" w:hAnsi="Arial" w:cs="Arial"/>
          <w:color w:val="000000"/>
          <w:sz w:val="24"/>
          <w:szCs w:val="24"/>
          <w:lang w:eastAsia="en-NZ"/>
        </w:rPr>
        <w:t xml:space="preserve">patent application’. </w:t>
      </w:r>
      <w:r w:rsidR="009E62CD" w:rsidRPr="009E62CD">
        <w:rPr>
          <w:rFonts w:ascii="Arial" w:eastAsia="Times New Roman" w:hAnsi="Arial" w:cs="Arial"/>
          <w:color w:val="000000"/>
          <w:sz w:val="24"/>
          <w:szCs w:val="24"/>
          <w:lang w:eastAsia="en-NZ"/>
        </w:rPr>
        <w:t xml:space="preserve">The prior art base under section 8(2) </w:t>
      </w:r>
      <w:r w:rsidR="009E62CD">
        <w:rPr>
          <w:rFonts w:ascii="Arial" w:eastAsia="Times New Roman" w:hAnsi="Arial" w:cs="Arial"/>
          <w:color w:val="000000"/>
          <w:sz w:val="24"/>
          <w:szCs w:val="24"/>
          <w:lang w:eastAsia="en-NZ"/>
        </w:rPr>
        <w:t>includes</w:t>
      </w:r>
      <w:r w:rsidR="009E62CD" w:rsidRPr="009E62CD">
        <w:rPr>
          <w:rFonts w:ascii="Arial" w:eastAsia="Times New Roman" w:hAnsi="Arial" w:cs="Arial"/>
          <w:color w:val="000000"/>
          <w:sz w:val="24"/>
          <w:szCs w:val="24"/>
          <w:lang w:eastAsia="en-NZ"/>
        </w:rPr>
        <w:t xml:space="preserve"> the whole conte</w:t>
      </w:r>
      <w:r w:rsidR="009E62CD">
        <w:rPr>
          <w:rFonts w:ascii="Arial" w:eastAsia="Times New Roman" w:hAnsi="Arial" w:cs="Arial"/>
          <w:color w:val="000000"/>
          <w:sz w:val="24"/>
          <w:szCs w:val="24"/>
          <w:lang w:eastAsia="en-NZ"/>
        </w:rPr>
        <w:t>n</w:t>
      </w:r>
      <w:r w:rsidR="009E62CD" w:rsidRPr="009E62CD">
        <w:rPr>
          <w:rFonts w:ascii="Arial" w:eastAsia="Times New Roman" w:hAnsi="Arial" w:cs="Arial"/>
          <w:color w:val="000000"/>
          <w:sz w:val="24"/>
          <w:szCs w:val="24"/>
          <w:lang w:eastAsia="en-NZ"/>
        </w:rPr>
        <w:t>t of the</w:t>
      </w:r>
      <w:r w:rsidR="009E62CD">
        <w:rPr>
          <w:rFonts w:ascii="Arial" w:eastAsia="Times New Roman" w:hAnsi="Arial" w:cs="Arial"/>
          <w:color w:val="000000"/>
          <w:sz w:val="24"/>
          <w:szCs w:val="24"/>
          <w:lang w:eastAsia="en-NZ"/>
        </w:rPr>
        <w:t xml:space="preserve"> specification of ‘an</w:t>
      </w:r>
      <w:r w:rsidR="009E62CD" w:rsidRPr="009E62CD">
        <w:rPr>
          <w:rFonts w:ascii="Arial" w:eastAsia="Times New Roman" w:hAnsi="Arial" w:cs="Arial"/>
          <w:color w:val="000000"/>
          <w:sz w:val="24"/>
          <w:szCs w:val="24"/>
          <w:lang w:eastAsia="en-NZ"/>
        </w:rPr>
        <w:t>other patent application</w:t>
      </w:r>
      <w:r w:rsidR="009E62CD">
        <w:rPr>
          <w:rFonts w:ascii="Arial" w:eastAsia="Times New Roman" w:hAnsi="Arial" w:cs="Arial"/>
          <w:color w:val="000000"/>
          <w:sz w:val="24"/>
          <w:szCs w:val="24"/>
          <w:lang w:eastAsia="en-NZ"/>
        </w:rPr>
        <w:t>’</w:t>
      </w:r>
      <w:r w:rsidR="009E62CD" w:rsidRPr="009E62CD">
        <w:rPr>
          <w:rFonts w:ascii="Arial" w:eastAsia="Times New Roman" w:hAnsi="Arial" w:cs="Arial"/>
          <w:color w:val="000000"/>
          <w:sz w:val="24"/>
          <w:szCs w:val="24"/>
          <w:lang w:eastAsia="en-NZ"/>
        </w:rPr>
        <w:t>. There is no requirement that the other patent application actually contain a claim for the same subject matter of the applicatio</w:t>
      </w:r>
      <w:r w:rsidR="00A17406">
        <w:rPr>
          <w:rFonts w:ascii="Arial" w:eastAsia="Times New Roman" w:hAnsi="Arial" w:cs="Arial"/>
          <w:color w:val="000000"/>
          <w:sz w:val="24"/>
          <w:szCs w:val="24"/>
          <w:lang w:eastAsia="en-NZ"/>
        </w:rPr>
        <w:t>n under examination</w:t>
      </w:r>
      <w:r w:rsidR="009E62CD" w:rsidRPr="009E62CD">
        <w:rPr>
          <w:rFonts w:ascii="Arial" w:eastAsia="Times New Roman" w:hAnsi="Arial" w:cs="Arial"/>
          <w:color w:val="000000"/>
          <w:sz w:val="24"/>
          <w:szCs w:val="24"/>
          <w:lang w:eastAsia="en-NZ"/>
        </w:rPr>
        <w:t xml:space="preserve"> </w:t>
      </w:r>
    </w:p>
    <w:p w:rsidR="004D0C2A" w:rsidRDefault="004D0C2A" w:rsidP="004D0C2A">
      <w:pPr>
        <w:numPr>
          <w:ilvl w:val="0"/>
          <w:numId w:val="26"/>
        </w:numPr>
        <w:spacing w:after="240" w:line="240" w:lineRule="auto"/>
        <w:ind w:left="540"/>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Three criteria </w:t>
      </w:r>
      <w:r w:rsidR="00EF07EA">
        <w:rPr>
          <w:rFonts w:ascii="Arial" w:eastAsia="Times New Roman" w:hAnsi="Arial" w:cs="Arial"/>
          <w:color w:val="000000"/>
          <w:sz w:val="24"/>
          <w:szCs w:val="24"/>
          <w:lang w:eastAsia="en-NZ"/>
        </w:rPr>
        <w:t xml:space="preserve">(section 8(2)(a)(b) &amp; (c)) </w:t>
      </w:r>
      <w:r>
        <w:rPr>
          <w:rFonts w:ascii="Arial" w:eastAsia="Times New Roman" w:hAnsi="Arial" w:cs="Arial"/>
          <w:color w:val="000000"/>
          <w:sz w:val="24"/>
          <w:szCs w:val="24"/>
          <w:lang w:eastAsia="en-NZ"/>
        </w:rPr>
        <w:t xml:space="preserve">must be satisfied before raising a ‘whole of contents’ </w:t>
      </w:r>
      <w:r w:rsidR="00EF07EA">
        <w:rPr>
          <w:rFonts w:ascii="Arial" w:eastAsia="Times New Roman" w:hAnsi="Arial" w:cs="Arial"/>
          <w:color w:val="000000"/>
          <w:sz w:val="24"/>
          <w:szCs w:val="24"/>
          <w:lang w:eastAsia="en-NZ"/>
        </w:rPr>
        <w:t xml:space="preserve">lack of novelty </w:t>
      </w:r>
      <w:r>
        <w:rPr>
          <w:rFonts w:ascii="Arial" w:eastAsia="Times New Roman" w:hAnsi="Arial" w:cs="Arial"/>
          <w:color w:val="000000"/>
          <w:sz w:val="24"/>
          <w:szCs w:val="24"/>
          <w:lang w:eastAsia="en-NZ"/>
        </w:rPr>
        <w:t>objection</w:t>
      </w:r>
      <w:r w:rsidR="00A17406">
        <w:rPr>
          <w:rFonts w:ascii="Arial" w:eastAsia="Times New Roman" w:hAnsi="Arial" w:cs="Arial"/>
          <w:color w:val="000000"/>
          <w:sz w:val="24"/>
          <w:szCs w:val="24"/>
          <w:lang w:eastAsia="en-NZ"/>
        </w:rPr>
        <w:t>:</w:t>
      </w:r>
    </w:p>
    <w:p w:rsidR="00A17406" w:rsidRDefault="00A17406" w:rsidP="00A17406">
      <w:pPr>
        <w:numPr>
          <w:ilvl w:val="1"/>
          <w:numId w:val="26"/>
        </w:numPr>
        <w:spacing w:after="240" w:line="240" w:lineRule="auto"/>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claim based upon the </w:t>
      </w:r>
      <w:r w:rsidRPr="00A17406">
        <w:rPr>
          <w:rFonts w:ascii="Arial" w:eastAsia="Times New Roman" w:hAnsi="Arial" w:cs="Arial"/>
          <w:i/>
          <w:color w:val="000000"/>
          <w:sz w:val="24"/>
          <w:szCs w:val="24"/>
          <w:lang w:eastAsia="en-NZ"/>
        </w:rPr>
        <w:t>information</w:t>
      </w:r>
      <w:r>
        <w:rPr>
          <w:rFonts w:ascii="Arial" w:eastAsia="Times New Roman" w:hAnsi="Arial" w:cs="Arial"/>
          <w:color w:val="000000"/>
          <w:sz w:val="24"/>
          <w:szCs w:val="24"/>
          <w:lang w:eastAsia="en-NZ"/>
        </w:rPr>
        <w:t xml:space="preserve"> contained in </w:t>
      </w:r>
      <w:r w:rsidRPr="00A17406">
        <w:rPr>
          <w:rFonts w:ascii="Arial" w:eastAsia="Times New Roman" w:hAnsi="Arial" w:cs="Arial"/>
          <w:i/>
          <w:color w:val="000000"/>
          <w:sz w:val="24"/>
          <w:szCs w:val="24"/>
          <w:lang w:eastAsia="en-NZ"/>
        </w:rPr>
        <w:t xml:space="preserve">another patent application </w:t>
      </w:r>
      <w:r>
        <w:rPr>
          <w:rFonts w:ascii="Arial" w:eastAsia="Times New Roman" w:hAnsi="Arial" w:cs="Arial"/>
          <w:color w:val="000000"/>
          <w:sz w:val="24"/>
          <w:szCs w:val="24"/>
          <w:lang w:eastAsia="en-NZ"/>
        </w:rPr>
        <w:t>would have (if formulated), or has, an earlier priority date than the claim of the application under examination; and</w:t>
      </w:r>
    </w:p>
    <w:p w:rsidR="00A17406" w:rsidRDefault="00A17406" w:rsidP="00A17406">
      <w:pPr>
        <w:numPr>
          <w:ilvl w:val="1"/>
          <w:numId w:val="26"/>
        </w:numPr>
        <w:spacing w:after="240" w:line="240" w:lineRule="auto"/>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lastRenderedPageBreak/>
        <w:t>The complete specification of the other patent application is laid open for public inspection after the filing date of the claim under examination; and</w:t>
      </w:r>
    </w:p>
    <w:p w:rsidR="00A17406" w:rsidRDefault="00A17406" w:rsidP="00A17406">
      <w:pPr>
        <w:numPr>
          <w:ilvl w:val="1"/>
          <w:numId w:val="26"/>
        </w:numPr>
        <w:spacing w:after="240" w:line="240" w:lineRule="auto"/>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w:t>
      </w:r>
      <w:r w:rsidRPr="00A17406">
        <w:rPr>
          <w:rFonts w:ascii="Arial" w:eastAsia="Times New Roman" w:hAnsi="Arial" w:cs="Arial"/>
          <w:i/>
          <w:color w:val="000000"/>
          <w:sz w:val="24"/>
          <w:szCs w:val="24"/>
          <w:lang w:eastAsia="en-NZ"/>
        </w:rPr>
        <w:t>information</w:t>
      </w:r>
      <w:r>
        <w:rPr>
          <w:rFonts w:ascii="Arial" w:eastAsia="Times New Roman" w:hAnsi="Arial" w:cs="Arial"/>
          <w:color w:val="000000"/>
          <w:sz w:val="24"/>
          <w:szCs w:val="24"/>
          <w:lang w:eastAsia="en-NZ"/>
        </w:rPr>
        <w:t xml:space="preserve"> (see (a) above) must have been present within the specification of the other patent application </w:t>
      </w:r>
      <w:r w:rsidRPr="00A17406">
        <w:rPr>
          <w:rFonts w:ascii="Arial" w:eastAsia="Times New Roman" w:hAnsi="Arial" w:cs="Arial"/>
          <w:color w:val="000000"/>
          <w:sz w:val="24"/>
          <w:szCs w:val="24"/>
          <w:lang w:eastAsia="en-NZ"/>
        </w:rPr>
        <w:t>on its filing date and when it became open to public inspection</w:t>
      </w:r>
      <w:r>
        <w:rPr>
          <w:rFonts w:ascii="Arial" w:eastAsia="Times New Roman" w:hAnsi="Arial" w:cs="Arial"/>
          <w:color w:val="000000"/>
          <w:sz w:val="24"/>
          <w:szCs w:val="24"/>
          <w:lang w:eastAsia="en-NZ"/>
        </w:rPr>
        <w:t>.</w:t>
      </w:r>
    </w:p>
    <w:p w:rsidR="005F1439" w:rsidRDefault="00A17406"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D</w:t>
      </w:r>
      <w:r w:rsidR="005F1439" w:rsidRPr="005F1439">
        <w:rPr>
          <w:rFonts w:ascii="Arial" w:eastAsia="Times New Roman" w:hAnsi="Arial" w:cs="Arial"/>
          <w:color w:val="000000"/>
          <w:sz w:val="24"/>
          <w:szCs w:val="24"/>
          <w:lang w:eastAsia="en-NZ"/>
        </w:rPr>
        <w:t xml:space="preserve">ocuments </w:t>
      </w:r>
      <w:r w:rsidR="00C720D2">
        <w:rPr>
          <w:rFonts w:ascii="Arial" w:eastAsia="Times New Roman" w:hAnsi="Arial" w:cs="Arial"/>
          <w:color w:val="000000"/>
          <w:sz w:val="24"/>
          <w:szCs w:val="24"/>
          <w:lang w:eastAsia="en-NZ"/>
        </w:rPr>
        <w:t xml:space="preserve">being </w:t>
      </w:r>
      <w:r w:rsidR="00C720D2" w:rsidRPr="00C720D2">
        <w:rPr>
          <w:rFonts w:ascii="Arial" w:eastAsia="Times New Roman" w:hAnsi="Arial" w:cs="Arial"/>
          <w:i/>
          <w:color w:val="000000"/>
          <w:sz w:val="24"/>
          <w:szCs w:val="24"/>
          <w:lang w:eastAsia="en-NZ"/>
        </w:rPr>
        <w:t>another patent application</w:t>
      </w:r>
      <w:r w:rsidR="00C720D2">
        <w:rPr>
          <w:rFonts w:ascii="Arial" w:eastAsia="Times New Roman" w:hAnsi="Arial" w:cs="Arial"/>
          <w:color w:val="000000"/>
          <w:sz w:val="24"/>
          <w:szCs w:val="24"/>
          <w:lang w:eastAsia="en-NZ"/>
        </w:rPr>
        <w:t xml:space="preserve"> which </w:t>
      </w:r>
      <w:r w:rsidR="005F1439" w:rsidRPr="005F1439">
        <w:rPr>
          <w:rFonts w:ascii="Arial" w:eastAsia="Times New Roman" w:hAnsi="Arial" w:cs="Arial"/>
          <w:color w:val="000000"/>
          <w:sz w:val="24"/>
          <w:szCs w:val="24"/>
          <w:lang w:eastAsia="en-NZ"/>
        </w:rPr>
        <w:t>considered</w:t>
      </w:r>
      <w:r w:rsidR="00970038">
        <w:rPr>
          <w:rFonts w:ascii="Arial" w:eastAsia="Times New Roman" w:hAnsi="Arial" w:cs="Arial"/>
          <w:color w:val="000000"/>
          <w:sz w:val="24"/>
          <w:szCs w:val="24"/>
          <w:lang w:eastAsia="en-NZ"/>
        </w:rPr>
        <w:t xml:space="preserve"> to form the prior art base under</w:t>
      </w:r>
      <w:r>
        <w:rPr>
          <w:rFonts w:ascii="Arial" w:eastAsia="Times New Roman" w:hAnsi="Arial" w:cs="Arial"/>
          <w:color w:val="000000"/>
          <w:sz w:val="24"/>
          <w:szCs w:val="24"/>
          <w:lang w:eastAsia="en-NZ"/>
        </w:rPr>
        <w:t xml:space="preserve"> section 8(2) include </w:t>
      </w:r>
      <w:r w:rsidR="009F0D4E">
        <w:rPr>
          <w:rFonts w:ascii="Arial" w:eastAsia="Times New Roman" w:hAnsi="Arial" w:cs="Arial"/>
          <w:color w:val="000000"/>
          <w:sz w:val="24"/>
          <w:szCs w:val="24"/>
          <w:lang w:eastAsia="en-NZ"/>
        </w:rPr>
        <w:t>the following:</w:t>
      </w:r>
    </w:p>
    <w:p w:rsidR="006A66AB" w:rsidRDefault="00C720D2" w:rsidP="009F0D4E">
      <w:pPr>
        <w:numPr>
          <w:ilvl w:val="1"/>
          <w:numId w:val="26"/>
        </w:numPr>
        <w:spacing w:after="240" w:line="240" w:lineRule="auto"/>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 patent</w:t>
      </w:r>
      <w:r w:rsidR="009F0D4E" w:rsidRPr="006A66AB">
        <w:rPr>
          <w:rFonts w:ascii="Arial" w:eastAsia="Times New Roman" w:hAnsi="Arial" w:cs="Arial"/>
          <w:color w:val="000000"/>
          <w:sz w:val="24"/>
          <w:szCs w:val="24"/>
          <w:lang w:eastAsia="en-NZ"/>
        </w:rPr>
        <w:t xml:space="preserve"> application made under the Act</w:t>
      </w:r>
      <w:r w:rsidR="00970038" w:rsidRPr="006A66AB">
        <w:rPr>
          <w:rFonts w:ascii="Arial" w:eastAsia="Times New Roman" w:hAnsi="Arial" w:cs="Arial"/>
          <w:color w:val="000000"/>
          <w:sz w:val="24"/>
          <w:szCs w:val="24"/>
          <w:lang w:eastAsia="en-NZ"/>
        </w:rPr>
        <w:t xml:space="preserve"> (</w:t>
      </w:r>
      <w:r w:rsidR="00F24C09">
        <w:rPr>
          <w:rFonts w:ascii="Arial" w:eastAsia="Times New Roman" w:hAnsi="Arial" w:cs="Arial"/>
          <w:color w:val="000000"/>
          <w:sz w:val="24"/>
          <w:szCs w:val="24"/>
          <w:lang w:eastAsia="en-NZ"/>
        </w:rPr>
        <w:t xml:space="preserve">see </w:t>
      </w:r>
      <w:r w:rsidR="00970038" w:rsidRPr="006A66AB">
        <w:rPr>
          <w:rFonts w:ascii="Arial" w:eastAsia="Times New Roman" w:hAnsi="Arial" w:cs="Arial"/>
          <w:color w:val="000000"/>
          <w:sz w:val="24"/>
          <w:szCs w:val="24"/>
          <w:lang w:eastAsia="en-NZ"/>
        </w:rPr>
        <w:t>section 5 ‘</w:t>
      </w:r>
      <w:r w:rsidR="00970038" w:rsidRPr="006A66AB">
        <w:rPr>
          <w:rFonts w:ascii="Arial" w:eastAsia="Times New Roman" w:hAnsi="Arial" w:cs="Arial"/>
          <w:i/>
          <w:color w:val="000000"/>
          <w:sz w:val="24"/>
          <w:szCs w:val="24"/>
          <w:lang w:eastAsia="en-NZ"/>
        </w:rPr>
        <w:t>patent application</w:t>
      </w:r>
      <w:r w:rsidR="00970038" w:rsidRPr="006A66AB">
        <w:rPr>
          <w:rFonts w:ascii="Arial" w:eastAsia="Times New Roman" w:hAnsi="Arial" w:cs="Arial"/>
          <w:color w:val="000000"/>
          <w:sz w:val="24"/>
          <w:szCs w:val="24"/>
          <w:lang w:eastAsia="en-NZ"/>
        </w:rPr>
        <w:t>’) and published under section 76</w:t>
      </w:r>
      <w:r w:rsidR="009F0D4E" w:rsidRPr="006A66AB">
        <w:rPr>
          <w:rFonts w:ascii="Arial" w:eastAsia="Times New Roman" w:hAnsi="Arial" w:cs="Arial"/>
          <w:color w:val="000000"/>
          <w:sz w:val="24"/>
          <w:szCs w:val="24"/>
          <w:lang w:eastAsia="en-NZ"/>
        </w:rPr>
        <w:t>;</w:t>
      </w:r>
      <w:r w:rsidR="006A66AB" w:rsidRPr="006A66AB">
        <w:rPr>
          <w:rFonts w:ascii="Arial" w:eastAsia="Times New Roman" w:hAnsi="Arial" w:cs="Arial"/>
          <w:color w:val="000000"/>
          <w:sz w:val="24"/>
          <w:szCs w:val="24"/>
          <w:lang w:eastAsia="en-NZ"/>
        </w:rPr>
        <w:t xml:space="preserve"> and</w:t>
      </w:r>
    </w:p>
    <w:p w:rsidR="009F0D4E" w:rsidRPr="006A66AB" w:rsidRDefault="006A66AB" w:rsidP="009F0D4E">
      <w:pPr>
        <w:numPr>
          <w:ilvl w:val="1"/>
          <w:numId w:val="26"/>
        </w:numPr>
        <w:spacing w:after="240" w:line="240" w:lineRule="auto"/>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w:t>
      </w:r>
      <w:r w:rsidR="009C6356">
        <w:rPr>
          <w:rFonts w:ascii="Arial" w:eastAsia="Times New Roman" w:hAnsi="Arial" w:cs="Arial"/>
          <w:color w:val="000000"/>
          <w:sz w:val="24"/>
          <w:szCs w:val="24"/>
          <w:lang w:eastAsia="en-NZ"/>
        </w:rPr>
        <w:t xml:space="preserve"> published </w:t>
      </w:r>
      <w:r w:rsidR="009F0D4E" w:rsidRPr="006A66AB">
        <w:rPr>
          <w:rFonts w:ascii="Arial" w:eastAsia="Times New Roman" w:hAnsi="Arial" w:cs="Arial"/>
          <w:color w:val="000000"/>
          <w:sz w:val="24"/>
          <w:szCs w:val="24"/>
          <w:lang w:eastAsia="en-NZ"/>
        </w:rPr>
        <w:t xml:space="preserve">international </w:t>
      </w:r>
      <w:r w:rsidR="009C6356">
        <w:rPr>
          <w:rFonts w:ascii="Arial" w:eastAsia="Times New Roman" w:hAnsi="Arial" w:cs="Arial"/>
          <w:color w:val="000000"/>
          <w:sz w:val="24"/>
          <w:szCs w:val="24"/>
          <w:lang w:eastAsia="en-NZ"/>
        </w:rPr>
        <w:t xml:space="preserve">PCT </w:t>
      </w:r>
      <w:r w:rsidR="009F0D4E" w:rsidRPr="006A66AB">
        <w:rPr>
          <w:rFonts w:ascii="Arial" w:eastAsia="Times New Roman" w:hAnsi="Arial" w:cs="Arial"/>
          <w:color w:val="000000"/>
          <w:sz w:val="24"/>
          <w:szCs w:val="24"/>
          <w:lang w:eastAsia="en-NZ"/>
        </w:rPr>
        <w:t>application which</w:t>
      </w:r>
      <w:r w:rsidR="009C6356">
        <w:rPr>
          <w:rFonts w:ascii="Arial" w:eastAsia="Times New Roman" w:hAnsi="Arial" w:cs="Arial"/>
          <w:color w:val="000000"/>
          <w:sz w:val="24"/>
          <w:szCs w:val="24"/>
          <w:lang w:eastAsia="en-NZ"/>
        </w:rPr>
        <w:t xml:space="preserve"> designates New Zealand whether or not it enters the national phase in New Zealand</w:t>
      </w:r>
      <w:r w:rsidR="009F0D4E" w:rsidRPr="006A66AB">
        <w:rPr>
          <w:rFonts w:ascii="Arial" w:eastAsia="Times New Roman" w:hAnsi="Arial" w:cs="Arial"/>
          <w:color w:val="000000"/>
          <w:sz w:val="24"/>
          <w:szCs w:val="24"/>
          <w:lang w:eastAsia="en-NZ"/>
        </w:rPr>
        <w:t>.</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 xml:space="preserve">The prior art base under section 8(1) and 8(2) </w:t>
      </w:r>
      <w:r w:rsidR="003D4FF5">
        <w:rPr>
          <w:rFonts w:ascii="Arial" w:eastAsia="Times New Roman" w:hAnsi="Arial" w:cs="Arial"/>
          <w:color w:val="000000"/>
          <w:sz w:val="24"/>
          <w:szCs w:val="24"/>
          <w:lang w:eastAsia="en-NZ"/>
        </w:rPr>
        <w:t xml:space="preserve">may be applied </w:t>
      </w:r>
      <w:r w:rsidR="00A17406">
        <w:rPr>
          <w:rFonts w:ascii="Arial" w:eastAsia="Times New Roman" w:hAnsi="Arial" w:cs="Arial"/>
          <w:color w:val="000000"/>
          <w:sz w:val="24"/>
          <w:szCs w:val="24"/>
          <w:lang w:eastAsia="en-NZ"/>
        </w:rPr>
        <w:t xml:space="preserve">when </w:t>
      </w:r>
      <w:r w:rsidRPr="005F1439">
        <w:rPr>
          <w:rFonts w:ascii="Arial" w:eastAsia="Times New Roman" w:hAnsi="Arial" w:cs="Arial"/>
          <w:color w:val="000000"/>
          <w:sz w:val="24"/>
          <w:szCs w:val="24"/>
          <w:lang w:eastAsia="en-NZ"/>
        </w:rPr>
        <w:t>examining</w:t>
      </w:r>
      <w:r w:rsidR="00A17406">
        <w:rPr>
          <w:rFonts w:ascii="Arial" w:eastAsia="Times New Roman" w:hAnsi="Arial" w:cs="Arial"/>
          <w:color w:val="000000"/>
          <w:sz w:val="24"/>
          <w:szCs w:val="24"/>
          <w:lang w:eastAsia="en-NZ"/>
        </w:rPr>
        <w:t xml:space="preserve"> for </w:t>
      </w:r>
      <w:r w:rsidRPr="005F1439">
        <w:rPr>
          <w:rFonts w:ascii="Arial" w:eastAsia="Times New Roman" w:hAnsi="Arial" w:cs="Arial"/>
          <w:color w:val="000000"/>
          <w:sz w:val="24"/>
          <w:szCs w:val="24"/>
          <w:lang w:eastAsia="en-NZ"/>
        </w:rPr>
        <w:t>novelty.</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The prior art bas</w:t>
      </w:r>
      <w:r w:rsidR="00554A68">
        <w:rPr>
          <w:rFonts w:ascii="Arial" w:eastAsia="Times New Roman" w:hAnsi="Arial" w:cs="Arial"/>
          <w:color w:val="000000"/>
          <w:sz w:val="24"/>
          <w:szCs w:val="24"/>
          <w:lang w:eastAsia="en-NZ"/>
        </w:rPr>
        <w:t xml:space="preserve">e under section 8(1) </w:t>
      </w:r>
      <w:r w:rsidR="003D4FF5">
        <w:rPr>
          <w:rFonts w:ascii="Arial" w:eastAsia="Times New Roman" w:hAnsi="Arial" w:cs="Arial"/>
          <w:color w:val="000000"/>
          <w:sz w:val="24"/>
          <w:szCs w:val="24"/>
          <w:lang w:eastAsia="en-NZ"/>
        </w:rPr>
        <w:t xml:space="preserve">may be applied when examining for </w:t>
      </w:r>
      <w:r w:rsidRPr="005F1439">
        <w:rPr>
          <w:rFonts w:ascii="Arial" w:eastAsia="Times New Roman" w:hAnsi="Arial" w:cs="Arial"/>
          <w:color w:val="000000"/>
          <w:sz w:val="24"/>
          <w:szCs w:val="24"/>
          <w:lang w:eastAsia="en-NZ"/>
        </w:rPr>
        <w:t xml:space="preserve">inventive step. </w:t>
      </w:r>
      <w:r w:rsidR="003D4FF5">
        <w:rPr>
          <w:rFonts w:ascii="Arial" w:eastAsia="Times New Roman" w:hAnsi="Arial" w:cs="Arial"/>
          <w:color w:val="000000"/>
          <w:sz w:val="24"/>
          <w:szCs w:val="24"/>
          <w:lang w:eastAsia="en-NZ"/>
        </w:rPr>
        <w:t>The p</w:t>
      </w:r>
      <w:r w:rsidRPr="005F1439">
        <w:rPr>
          <w:rFonts w:ascii="Arial" w:eastAsia="Times New Roman" w:hAnsi="Arial" w:cs="Arial"/>
          <w:color w:val="000000"/>
          <w:sz w:val="24"/>
          <w:szCs w:val="24"/>
          <w:lang w:eastAsia="en-NZ"/>
        </w:rPr>
        <w:t xml:space="preserve">rior art base under section 8(2) cannot be </w:t>
      </w:r>
      <w:r w:rsidR="00554A68">
        <w:rPr>
          <w:rFonts w:ascii="Arial" w:eastAsia="Times New Roman" w:hAnsi="Arial" w:cs="Arial"/>
          <w:color w:val="000000"/>
          <w:sz w:val="24"/>
          <w:szCs w:val="24"/>
          <w:lang w:eastAsia="en-NZ"/>
        </w:rPr>
        <w:t xml:space="preserve">applied </w:t>
      </w:r>
      <w:r w:rsidR="003D4FF5">
        <w:rPr>
          <w:rFonts w:ascii="Arial" w:eastAsia="Times New Roman" w:hAnsi="Arial" w:cs="Arial"/>
          <w:color w:val="000000"/>
          <w:sz w:val="24"/>
          <w:szCs w:val="24"/>
          <w:lang w:eastAsia="en-NZ"/>
        </w:rPr>
        <w:t>for inventive step</w:t>
      </w:r>
      <w:r w:rsidRPr="005F1439">
        <w:rPr>
          <w:rFonts w:ascii="Arial" w:eastAsia="Times New Roman" w:hAnsi="Arial" w:cs="Arial"/>
          <w:color w:val="000000"/>
          <w:sz w:val="24"/>
          <w:szCs w:val="24"/>
          <w:lang w:eastAsia="en-NZ"/>
        </w:rPr>
        <w:t xml:space="preserve">. </w:t>
      </w:r>
    </w:p>
    <w:p w:rsidR="005F1439" w:rsidRPr="005F1439" w:rsidRDefault="005F1439" w:rsidP="009F64BD">
      <w:pPr>
        <w:spacing w:after="240" w:line="240" w:lineRule="auto"/>
        <w:ind w:left="180" w:firstLine="360"/>
        <w:textAlignment w:val="center"/>
        <w:rPr>
          <w:rFonts w:ascii="Arial" w:eastAsia="Times New Roman" w:hAnsi="Arial" w:cs="Arial"/>
          <w:b/>
          <w:i/>
          <w:color w:val="000000"/>
          <w:sz w:val="24"/>
          <w:szCs w:val="24"/>
          <w:lang w:eastAsia="en-NZ"/>
        </w:rPr>
      </w:pPr>
      <w:r w:rsidRPr="005F1439">
        <w:rPr>
          <w:rFonts w:ascii="Arial" w:eastAsia="Times New Roman" w:hAnsi="Arial" w:cs="Arial"/>
          <w:b/>
          <w:i/>
          <w:color w:val="000000"/>
          <w:sz w:val="24"/>
          <w:szCs w:val="24"/>
          <w:lang w:eastAsia="en-NZ"/>
        </w:rPr>
        <w:t>Prior Use</w:t>
      </w:r>
    </w:p>
    <w:p w:rsidR="005F1439" w:rsidRPr="005F1439" w:rsidRDefault="00E10C43"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w:t>
      </w:r>
      <w:r w:rsidR="005F1439" w:rsidRPr="005F1439">
        <w:rPr>
          <w:rFonts w:ascii="Arial" w:eastAsia="Times New Roman" w:hAnsi="Arial" w:cs="Arial"/>
          <w:color w:val="000000"/>
          <w:sz w:val="24"/>
          <w:szCs w:val="24"/>
          <w:lang w:eastAsia="en-NZ"/>
        </w:rPr>
        <w:t xml:space="preserve">rior use must be enabling if it is to be considered anticipatory. In </w:t>
      </w:r>
      <w:proofErr w:type="spellStart"/>
      <w:r w:rsidR="005F1439" w:rsidRPr="005F1439">
        <w:rPr>
          <w:rFonts w:ascii="Arial" w:eastAsia="Times New Roman" w:hAnsi="Arial" w:cs="Arial"/>
          <w:i/>
          <w:color w:val="000000"/>
          <w:sz w:val="24"/>
          <w:szCs w:val="24"/>
          <w:lang w:eastAsia="en-NZ"/>
        </w:rPr>
        <w:t>Quantel</w:t>
      </w:r>
      <w:proofErr w:type="spellEnd"/>
      <w:r w:rsidR="005F1439" w:rsidRPr="005F1439">
        <w:rPr>
          <w:rFonts w:ascii="Arial" w:eastAsia="Times New Roman" w:hAnsi="Arial" w:cs="Arial"/>
          <w:i/>
          <w:color w:val="000000"/>
          <w:sz w:val="24"/>
          <w:szCs w:val="24"/>
          <w:lang w:eastAsia="en-NZ"/>
        </w:rPr>
        <w:t xml:space="preserve"> Ltd v Spaceward Microsystems Ltd</w:t>
      </w:r>
      <w:r w:rsidR="005F1439" w:rsidRPr="00E10C43">
        <w:rPr>
          <w:rFonts w:ascii="Arial" w:eastAsia="Times New Roman" w:hAnsi="Arial" w:cs="Arial"/>
          <w:color w:val="000000"/>
          <w:sz w:val="24"/>
          <w:szCs w:val="24"/>
          <w:lang w:eastAsia="en-NZ"/>
        </w:rPr>
        <w:t xml:space="preserve"> [1990] RPC 83,</w:t>
      </w:r>
      <w:r w:rsidR="00EA038A" w:rsidRPr="00E10C43">
        <w:rPr>
          <w:rFonts w:ascii="Arial" w:eastAsia="Times New Roman" w:hAnsi="Arial" w:cs="Arial"/>
          <w:color w:val="000000"/>
          <w:sz w:val="24"/>
          <w:szCs w:val="24"/>
          <w:lang w:eastAsia="en-NZ"/>
        </w:rPr>
        <w:t xml:space="preserve"> it was decided that a demonstration of a machine where no-one was allowed access to the machine and where no information about the machine was made available was considered to be a non-enabling disclosure</w:t>
      </w:r>
      <w:r w:rsidR="005F1439" w:rsidRPr="005F1439">
        <w:rPr>
          <w:rFonts w:ascii="Arial" w:eastAsia="Times New Roman" w:hAnsi="Arial" w:cs="Arial"/>
          <w:color w:val="000000"/>
          <w:sz w:val="24"/>
          <w:szCs w:val="24"/>
          <w:lang w:eastAsia="en-NZ"/>
        </w:rPr>
        <w:t xml:space="preserve">.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An invention may be anticipated by a single occurrence of an earlier use. For prior use to be considered an anticipatory disclosure, the nature of the use should be taken into consideration. For example if the public was able to only look at it on display it is possible that a person skilled in the art may not have all the necessary information to perform the invention (</w:t>
      </w:r>
      <w:r w:rsidRPr="005F1439">
        <w:rPr>
          <w:rFonts w:ascii="Arial" w:eastAsia="Times New Roman" w:hAnsi="Arial" w:cs="Arial"/>
          <w:i/>
          <w:color w:val="000000"/>
          <w:sz w:val="24"/>
          <w:szCs w:val="24"/>
          <w:lang w:eastAsia="en-NZ"/>
        </w:rPr>
        <w:t xml:space="preserve">Lux Traffic Controls Ltd v Pike Signals Ltd and </w:t>
      </w:r>
      <w:proofErr w:type="spellStart"/>
      <w:r w:rsidRPr="005F1439">
        <w:rPr>
          <w:rFonts w:ascii="Arial" w:eastAsia="Times New Roman" w:hAnsi="Arial" w:cs="Arial"/>
          <w:i/>
          <w:color w:val="000000"/>
          <w:sz w:val="24"/>
          <w:szCs w:val="24"/>
          <w:lang w:eastAsia="en-NZ"/>
        </w:rPr>
        <w:t>Faronwise</w:t>
      </w:r>
      <w:proofErr w:type="spellEnd"/>
      <w:r w:rsidRPr="005F1439">
        <w:rPr>
          <w:rFonts w:ascii="Arial" w:eastAsia="Times New Roman" w:hAnsi="Arial" w:cs="Arial"/>
          <w:i/>
          <w:color w:val="000000"/>
          <w:sz w:val="24"/>
          <w:szCs w:val="24"/>
          <w:lang w:eastAsia="en-NZ"/>
        </w:rPr>
        <w:t xml:space="preserve"> Ltd</w:t>
      </w:r>
      <w:r w:rsidRPr="005F1439">
        <w:rPr>
          <w:rFonts w:ascii="Arial" w:eastAsia="Times New Roman" w:hAnsi="Arial" w:cs="Arial"/>
          <w:color w:val="000000"/>
          <w:sz w:val="24"/>
          <w:szCs w:val="24"/>
          <w:lang w:eastAsia="en-NZ"/>
        </w:rPr>
        <w:t xml:space="preserve"> [1993] RPC 107) it would all depend on whether a person skilled in the art would be able to determine the operation and construction with relation to the amount of information they could obtain from their interaction with the invention. On the other hand if a free sample of the product was given to a member of the public (and it need only be one person) and they could then do what they wanted with it, they would be able to </w:t>
      </w:r>
      <w:r w:rsidR="00D96111">
        <w:rPr>
          <w:rFonts w:ascii="Arial" w:eastAsia="Times New Roman" w:hAnsi="Arial" w:cs="Arial"/>
          <w:color w:val="000000"/>
          <w:sz w:val="24"/>
          <w:szCs w:val="24"/>
          <w:lang w:eastAsia="en-NZ"/>
        </w:rPr>
        <w:t>gather enough information to per</w:t>
      </w:r>
      <w:r w:rsidRPr="005F1439">
        <w:rPr>
          <w:rFonts w:ascii="Arial" w:eastAsia="Times New Roman" w:hAnsi="Arial" w:cs="Arial"/>
          <w:color w:val="000000"/>
          <w:sz w:val="24"/>
          <w:szCs w:val="24"/>
          <w:lang w:eastAsia="en-NZ"/>
        </w:rPr>
        <w:t>form the invention (</w:t>
      </w:r>
      <w:proofErr w:type="spellStart"/>
      <w:r w:rsidRPr="005F1439">
        <w:rPr>
          <w:rFonts w:ascii="Arial" w:eastAsia="Times New Roman" w:hAnsi="Arial" w:cs="Arial"/>
          <w:i/>
          <w:color w:val="000000"/>
          <w:sz w:val="24"/>
          <w:szCs w:val="24"/>
          <w:lang w:eastAsia="en-NZ"/>
        </w:rPr>
        <w:t>Fomento</w:t>
      </w:r>
      <w:proofErr w:type="spellEnd"/>
      <w:r w:rsidRPr="005F1439">
        <w:rPr>
          <w:rFonts w:ascii="Arial" w:eastAsia="Times New Roman" w:hAnsi="Arial" w:cs="Arial"/>
          <w:i/>
          <w:color w:val="000000"/>
          <w:sz w:val="24"/>
          <w:szCs w:val="24"/>
          <w:lang w:eastAsia="en-NZ"/>
        </w:rPr>
        <w:t xml:space="preserve"> Industrial S.A., Biro Swan Limited and another v </w:t>
      </w:r>
      <w:proofErr w:type="spellStart"/>
      <w:r w:rsidRPr="005F1439">
        <w:rPr>
          <w:rFonts w:ascii="Arial" w:eastAsia="Times New Roman" w:hAnsi="Arial" w:cs="Arial"/>
          <w:i/>
          <w:color w:val="000000"/>
          <w:sz w:val="24"/>
          <w:szCs w:val="24"/>
          <w:lang w:eastAsia="en-NZ"/>
        </w:rPr>
        <w:t>Mantmore</w:t>
      </w:r>
      <w:proofErr w:type="spellEnd"/>
      <w:r w:rsidRPr="005F1439">
        <w:rPr>
          <w:rFonts w:ascii="Arial" w:eastAsia="Times New Roman" w:hAnsi="Arial" w:cs="Arial"/>
          <w:i/>
          <w:color w:val="000000"/>
          <w:sz w:val="24"/>
          <w:szCs w:val="24"/>
          <w:lang w:eastAsia="en-NZ"/>
        </w:rPr>
        <w:t xml:space="preserve"> Manufacturing Company Limited</w:t>
      </w:r>
      <w:r w:rsidRPr="005F1439">
        <w:rPr>
          <w:rFonts w:ascii="Arial" w:eastAsia="Times New Roman" w:hAnsi="Arial" w:cs="Arial"/>
          <w:color w:val="000000"/>
          <w:sz w:val="24"/>
          <w:szCs w:val="24"/>
          <w:lang w:eastAsia="en-NZ"/>
        </w:rPr>
        <w:t xml:space="preserve"> [1956] RPC 87).  As long as the prior use is not "secret use", it will form part of the prior art base.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Prior commercial demonstration or sale of the invention can be considered prior use.</w:t>
      </w:r>
    </w:p>
    <w:p w:rsidR="005F1439" w:rsidRPr="005F1439" w:rsidRDefault="005F1439" w:rsidP="009F64BD">
      <w:pPr>
        <w:spacing w:after="240" w:line="240" w:lineRule="auto"/>
        <w:ind w:left="180" w:firstLine="360"/>
        <w:textAlignment w:val="center"/>
        <w:rPr>
          <w:rFonts w:ascii="Arial" w:eastAsia="Times New Roman" w:hAnsi="Arial" w:cs="Arial"/>
          <w:color w:val="000000"/>
          <w:sz w:val="24"/>
          <w:szCs w:val="24"/>
          <w:lang w:eastAsia="en-NZ"/>
        </w:rPr>
      </w:pPr>
      <w:r w:rsidRPr="005F1439">
        <w:rPr>
          <w:rFonts w:ascii="Arial" w:eastAsia="Times New Roman" w:hAnsi="Arial" w:cs="Arial"/>
          <w:b/>
          <w:i/>
          <w:color w:val="000000"/>
          <w:sz w:val="24"/>
          <w:szCs w:val="24"/>
          <w:lang w:eastAsia="en-NZ"/>
        </w:rPr>
        <w:lastRenderedPageBreak/>
        <w:t>Prior Secret Use</w:t>
      </w:r>
      <w:r w:rsidRPr="005F1439">
        <w:rPr>
          <w:rFonts w:ascii="Arial" w:eastAsia="Times New Roman" w:hAnsi="Arial" w:cs="Arial"/>
          <w:color w:val="000000"/>
          <w:sz w:val="24"/>
          <w:szCs w:val="24"/>
          <w:lang w:eastAsia="en-NZ"/>
        </w:rPr>
        <w:t> </w:t>
      </w:r>
    </w:p>
    <w:p w:rsidR="005F1439" w:rsidRPr="005F1439" w:rsidRDefault="005F1439" w:rsidP="00E10C43">
      <w:pPr>
        <w:numPr>
          <w:ilvl w:val="0"/>
          <w:numId w:val="26"/>
        </w:numPr>
        <w:spacing w:after="240" w:line="240" w:lineRule="auto"/>
        <w:ind w:left="540"/>
        <w:textAlignment w:val="center"/>
        <w:rPr>
          <w:rFonts w:ascii="Arial" w:eastAsia="Times New Roman" w:hAnsi="Arial" w:cs="Arial"/>
          <w:color w:val="000000"/>
          <w:sz w:val="24"/>
          <w:szCs w:val="24"/>
          <w:lang w:eastAsia="en-NZ"/>
        </w:rPr>
      </w:pPr>
      <w:r w:rsidRPr="005F1439">
        <w:rPr>
          <w:rFonts w:ascii="Arial" w:eastAsia="Times New Roman" w:hAnsi="Arial" w:cs="Arial"/>
          <w:color w:val="000000"/>
          <w:sz w:val="24"/>
          <w:szCs w:val="24"/>
          <w:lang w:eastAsia="en-NZ"/>
        </w:rPr>
        <w:t xml:space="preserve">In </w:t>
      </w:r>
      <w:r w:rsidRPr="005F1439">
        <w:rPr>
          <w:rFonts w:ascii="Arial" w:eastAsia="Times New Roman" w:hAnsi="Arial" w:cs="Arial"/>
          <w:i/>
          <w:color w:val="000000"/>
          <w:sz w:val="24"/>
          <w:szCs w:val="24"/>
          <w:lang w:eastAsia="en-NZ"/>
        </w:rPr>
        <w:t>Bristol Myers (Johnson’s) Application</w:t>
      </w:r>
      <w:r w:rsidRPr="005F1439">
        <w:rPr>
          <w:rFonts w:ascii="Arial" w:eastAsia="Times New Roman" w:hAnsi="Arial" w:cs="Arial"/>
          <w:color w:val="000000"/>
          <w:sz w:val="24"/>
          <w:szCs w:val="24"/>
          <w:lang w:eastAsia="en-NZ"/>
        </w:rPr>
        <w:t xml:space="preserve"> [1975] RPC 127, "secret" was held to mean deliberate concealment and if it was concealed from the public it would not generally be considered to be an anticipatory disclosure. A deliberate concealment would be one where the person involved knew the invention was being used and took steps to ensure that it was not known about, rather than a person unwittingly performing the invention. Secret use includes not only trading and selling the invention but any use that was deliberately concealed and the user derived a practical benefit from it.  </w:t>
      </w:r>
    </w:p>
    <w:p w:rsidR="008B7C91" w:rsidRPr="00E10C43" w:rsidRDefault="008B7C91" w:rsidP="00D96111">
      <w:pPr>
        <w:spacing w:after="240" w:line="240" w:lineRule="auto"/>
        <w:textAlignment w:val="center"/>
        <w:rPr>
          <w:rFonts w:ascii="Arial" w:eastAsia="Times New Roman" w:hAnsi="Arial" w:cs="Arial"/>
          <w:color w:val="000000"/>
          <w:sz w:val="24"/>
          <w:szCs w:val="24"/>
          <w:lang w:eastAsia="en-NZ"/>
        </w:rPr>
      </w:pPr>
    </w:p>
    <w:sectPr w:rsidR="008B7C91" w:rsidRPr="00E10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F43"/>
    <w:multiLevelType w:val="multilevel"/>
    <w:tmpl w:val="1532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A29DC"/>
    <w:multiLevelType w:val="multilevel"/>
    <w:tmpl w:val="3628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E47F5"/>
    <w:multiLevelType w:val="multilevel"/>
    <w:tmpl w:val="A74212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AD24B64"/>
    <w:multiLevelType w:val="multilevel"/>
    <w:tmpl w:val="F832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01AC5"/>
    <w:multiLevelType w:val="multilevel"/>
    <w:tmpl w:val="3584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45A3B"/>
    <w:multiLevelType w:val="multilevel"/>
    <w:tmpl w:val="BBBA63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87C7B34"/>
    <w:multiLevelType w:val="multilevel"/>
    <w:tmpl w:val="8AC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04869"/>
    <w:multiLevelType w:val="multilevel"/>
    <w:tmpl w:val="56B00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F524E"/>
    <w:multiLevelType w:val="multilevel"/>
    <w:tmpl w:val="8884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EF183E"/>
    <w:multiLevelType w:val="multilevel"/>
    <w:tmpl w:val="6518C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54C81"/>
    <w:multiLevelType w:val="multilevel"/>
    <w:tmpl w:val="545C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C2512C"/>
    <w:multiLevelType w:val="multilevel"/>
    <w:tmpl w:val="9C8E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C1D90"/>
    <w:multiLevelType w:val="multilevel"/>
    <w:tmpl w:val="C792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876DDC"/>
    <w:multiLevelType w:val="multilevel"/>
    <w:tmpl w:val="A5C024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35390CC2"/>
    <w:multiLevelType w:val="multilevel"/>
    <w:tmpl w:val="82D0C8D4"/>
    <w:lvl w:ilvl="0">
      <w:start w:val="1"/>
      <w:numFmt w:val="decimal"/>
      <w:lvlText w:val="%1."/>
      <w:lvlJc w:val="left"/>
      <w:pPr>
        <w:ind w:left="644" w:hanging="360"/>
      </w:pPr>
      <w:rPr>
        <w:rFonts w:ascii="Arial Unicode MS" w:eastAsia="Arial Unicode MS" w:hAnsi="Arial Unicode MS" w:cs="Arial Unicode MS"/>
      </w:rPr>
    </w:lvl>
    <w:lvl w:ilvl="1">
      <w:start w:val="1"/>
      <w:numFmt w:val="lowerLetter"/>
      <w:lvlText w:val="%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39CA30F3"/>
    <w:multiLevelType w:val="multilevel"/>
    <w:tmpl w:val="5054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B751E2"/>
    <w:multiLevelType w:val="multilevel"/>
    <w:tmpl w:val="0B98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3756BC"/>
    <w:multiLevelType w:val="multilevel"/>
    <w:tmpl w:val="6D30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CB70C6"/>
    <w:multiLevelType w:val="multilevel"/>
    <w:tmpl w:val="766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A5660D"/>
    <w:multiLevelType w:val="multilevel"/>
    <w:tmpl w:val="9BD0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E60E30"/>
    <w:multiLevelType w:val="multilevel"/>
    <w:tmpl w:val="FF86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DF6402"/>
    <w:multiLevelType w:val="multilevel"/>
    <w:tmpl w:val="D236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DD6EFF"/>
    <w:multiLevelType w:val="multilevel"/>
    <w:tmpl w:val="1562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0D3A43"/>
    <w:multiLevelType w:val="multilevel"/>
    <w:tmpl w:val="DB94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286366"/>
    <w:multiLevelType w:val="multilevel"/>
    <w:tmpl w:val="273C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CF723F"/>
    <w:multiLevelType w:val="multilevel"/>
    <w:tmpl w:val="3A60EF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
    <w:lvlOverride w:ilvl="0">
      <w:startOverride w:val="1"/>
    </w:lvlOverride>
  </w:num>
  <w:num w:numId="2">
    <w:abstractNumId w:val="11"/>
    <w:lvlOverride w:ilvl="0">
      <w:startOverride w:val="2"/>
    </w:lvlOverride>
  </w:num>
  <w:num w:numId="3">
    <w:abstractNumId w:val="1"/>
    <w:lvlOverride w:ilvl="0">
      <w:startOverride w:val="3"/>
    </w:lvlOverride>
  </w:num>
  <w:num w:numId="4">
    <w:abstractNumId w:val="3"/>
    <w:lvlOverride w:ilvl="0">
      <w:startOverride w:val="4"/>
    </w:lvlOverride>
  </w:num>
  <w:num w:numId="5">
    <w:abstractNumId w:val="12"/>
    <w:lvlOverride w:ilvl="0">
      <w:startOverride w:val="5"/>
    </w:lvlOverride>
  </w:num>
  <w:num w:numId="6">
    <w:abstractNumId w:val="0"/>
    <w:lvlOverride w:ilvl="0">
      <w:startOverride w:val="6"/>
    </w:lvlOverride>
  </w:num>
  <w:num w:numId="7">
    <w:abstractNumId w:val="4"/>
    <w:lvlOverride w:ilvl="0">
      <w:startOverride w:val="7"/>
    </w:lvlOverride>
  </w:num>
  <w:num w:numId="8">
    <w:abstractNumId w:val="19"/>
    <w:lvlOverride w:ilvl="0">
      <w:startOverride w:val="8"/>
    </w:lvlOverride>
  </w:num>
  <w:num w:numId="9">
    <w:abstractNumId w:val="24"/>
    <w:lvlOverride w:ilvl="0">
      <w:startOverride w:val="9"/>
    </w:lvlOverride>
  </w:num>
  <w:num w:numId="10">
    <w:abstractNumId w:val="9"/>
    <w:lvlOverride w:ilvl="0">
      <w:startOverride w:val="10"/>
    </w:lvlOverride>
  </w:num>
  <w:num w:numId="11">
    <w:abstractNumId w:val="20"/>
    <w:lvlOverride w:ilvl="0">
      <w:startOverride w:val="11"/>
    </w:lvlOverride>
  </w:num>
  <w:num w:numId="12">
    <w:abstractNumId w:val="21"/>
    <w:lvlOverride w:ilvl="0">
      <w:startOverride w:val="12"/>
    </w:lvlOverride>
  </w:num>
  <w:num w:numId="13">
    <w:abstractNumId w:val="15"/>
    <w:lvlOverride w:ilvl="0">
      <w:startOverride w:val="13"/>
    </w:lvlOverride>
  </w:num>
  <w:num w:numId="14">
    <w:abstractNumId w:val="18"/>
    <w:lvlOverride w:ilvl="0">
      <w:startOverride w:val="14"/>
    </w:lvlOverride>
  </w:num>
  <w:num w:numId="15">
    <w:abstractNumId w:val="6"/>
    <w:lvlOverride w:ilvl="0">
      <w:startOverride w:val="15"/>
    </w:lvlOverride>
  </w:num>
  <w:num w:numId="16">
    <w:abstractNumId w:val="23"/>
    <w:lvlOverride w:ilvl="0">
      <w:startOverride w:val="16"/>
    </w:lvlOverride>
  </w:num>
  <w:num w:numId="17">
    <w:abstractNumId w:val="7"/>
    <w:lvlOverride w:ilvl="0">
      <w:startOverride w:val="17"/>
    </w:lvlOverride>
  </w:num>
  <w:num w:numId="18">
    <w:abstractNumId w:val="10"/>
    <w:lvlOverride w:ilvl="0">
      <w:startOverride w:val="18"/>
    </w:lvlOverride>
  </w:num>
  <w:num w:numId="19">
    <w:abstractNumId w:val="22"/>
    <w:lvlOverride w:ilvl="0">
      <w:startOverride w:val="19"/>
    </w:lvlOverride>
  </w:num>
  <w:num w:numId="20">
    <w:abstractNumId w:val="2"/>
    <w:lvlOverride w:ilvl="0">
      <w:startOverride w:val="1"/>
    </w:lvlOverride>
  </w:num>
  <w:num w:numId="21">
    <w:abstractNumId w:val="25"/>
    <w:lvlOverride w:ilvl="0">
      <w:startOverride w:val="2"/>
    </w:lvlOverride>
  </w:num>
  <w:num w:numId="22">
    <w:abstractNumId w:val="5"/>
    <w:lvlOverride w:ilvl="0">
      <w:startOverride w:val="3"/>
    </w:lvlOverride>
  </w:num>
  <w:num w:numId="23">
    <w:abstractNumId w:val="13"/>
    <w:lvlOverride w:ilvl="0">
      <w:startOverride w:val="4"/>
    </w:lvlOverride>
  </w:num>
  <w:num w:numId="24">
    <w:abstractNumId w:val="16"/>
    <w:lvlOverride w:ilvl="0">
      <w:startOverride w:val="20"/>
    </w:lvlOverride>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39"/>
    <w:rsid w:val="00200BC7"/>
    <w:rsid w:val="00267BBA"/>
    <w:rsid w:val="003D4FF5"/>
    <w:rsid w:val="003F0003"/>
    <w:rsid w:val="004D0C2A"/>
    <w:rsid w:val="00506F07"/>
    <w:rsid w:val="00517997"/>
    <w:rsid w:val="00554A68"/>
    <w:rsid w:val="005B534B"/>
    <w:rsid w:val="005F1439"/>
    <w:rsid w:val="006A66AB"/>
    <w:rsid w:val="008235ED"/>
    <w:rsid w:val="0084606C"/>
    <w:rsid w:val="008B7C91"/>
    <w:rsid w:val="0091451C"/>
    <w:rsid w:val="00914896"/>
    <w:rsid w:val="00925451"/>
    <w:rsid w:val="00947B91"/>
    <w:rsid w:val="00970038"/>
    <w:rsid w:val="009B654C"/>
    <w:rsid w:val="009C6356"/>
    <w:rsid w:val="009C7A2A"/>
    <w:rsid w:val="009E62CD"/>
    <w:rsid w:val="009F0D4E"/>
    <w:rsid w:val="009F64BD"/>
    <w:rsid w:val="00A17406"/>
    <w:rsid w:val="00C66514"/>
    <w:rsid w:val="00C720D2"/>
    <w:rsid w:val="00CE7466"/>
    <w:rsid w:val="00D96111"/>
    <w:rsid w:val="00E10C43"/>
    <w:rsid w:val="00EA038A"/>
    <w:rsid w:val="00EF07EA"/>
    <w:rsid w:val="00F24C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A038A"/>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43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5F1439"/>
    <w:rPr>
      <w:color w:val="0000FF"/>
      <w:u w:val="single"/>
    </w:rPr>
  </w:style>
  <w:style w:type="character" w:customStyle="1" w:styleId="Heading5Char">
    <w:name w:val="Heading 5 Char"/>
    <w:basedOn w:val="DefaultParagraphFont"/>
    <w:link w:val="Heading5"/>
    <w:uiPriority w:val="9"/>
    <w:rsid w:val="00EA038A"/>
    <w:rPr>
      <w:rFonts w:ascii="Times New Roman" w:eastAsia="Times New Roman" w:hAnsi="Times New Roman" w:cs="Times New Roman"/>
      <w:b/>
      <w:bCs/>
      <w:sz w:val="20"/>
      <w:szCs w:val="20"/>
      <w:lang w:eastAsia="en-NZ"/>
    </w:rPr>
  </w:style>
  <w:style w:type="paragraph" w:customStyle="1" w:styleId="labelled">
    <w:name w:val="labelled"/>
    <w:basedOn w:val="Normal"/>
    <w:rsid w:val="00EA038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EA038A"/>
  </w:style>
  <w:style w:type="character" w:customStyle="1" w:styleId="apple-converted-space">
    <w:name w:val="apple-converted-space"/>
    <w:basedOn w:val="DefaultParagraphFont"/>
    <w:rsid w:val="00EA038A"/>
  </w:style>
  <w:style w:type="character" w:styleId="Strong">
    <w:name w:val="Strong"/>
    <w:basedOn w:val="DefaultParagraphFont"/>
    <w:uiPriority w:val="22"/>
    <w:qFormat/>
    <w:rsid w:val="00EA038A"/>
    <w:rPr>
      <w:b/>
      <w:bCs/>
    </w:rPr>
  </w:style>
  <w:style w:type="character" w:styleId="HTMLDefinition">
    <w:name w:val="HTML Definition"/>
    <w:basedOn w:val="DefaultParagraphFont"/>
    <w:uiPriority w:val="99"/>
    <w:semiHidden/>
    <w:unhideWhenUsed/>
    <w:rsid w:val="00EA038A"/>
    <w:rPr>
      <w:i/>
      <w:iCs/>
    </w:rPr>
  </w:style>
  <w:style w:type="paragraph" w:customStyle="1" w:styleId="cf">
    <w:name w:val="cf"/>
    <w:basedOn w:val="Normal"/>
    <w:rsid w:val="00EA038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A038A"/>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43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5F1439"/>
    <w:rPr>
      <w:color w:val="0000FF"/>
      <w:u w:val="single"/>
    </w:rPr>
  </w:style>
  <w:style w:type="character" w:customStyle="1" w:styleId="Heading5Char">
    <w:name w:val="Heading 5 Char"/>
    <w:basedOn w:val="DefaultParagraphFont"/>
    <w:link w:val="Heading5"/>
    <w:uiPriority w:val="9"/>
    <w:rsid w:val="00EA038A"/>
    <w:rPr>
      <w:rFonts w:ascii="Times New Roman" w:eastAsia="Times New Roman" w:hAnsi="Times New Roman" w:cs="Times New Roman"/>
      <w:b/>
      <w:bCs/>
      <w:sz w:val="20"/>
      <w:szCs w:val="20"/>
      <w:lang w:eastAsia="en-NZ"/>
    </w:rPr>
  </w:style>
  <w:style w:type="paragraph" w:customStyle="1" w:styleId="labelled">
    <w:name w:val="labelled"/>
    <w:basedOn w:val="Normal"/>
    <w:rsid w:val="00EA038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EA038A"/>
  </w:style>
  <w:style w:type="character" w:customStyle="1" w:styleId="apple-converted-space">
    <w:name w:val="apple-converted-space"/>
    <w:basedOn w:val="DefaultParagraphFont"/>
    <w:rsid w:val="00EA038A"/>
  </w:style>
  <w:style w:type="character" w:styleId="Strong">
    <w:name w:val="Strong"/>
    <w:basedOn w:val="DefaultParagraphFont"/>
    <w:uiPriority w:val="22"/>
    <w:qFormat/>
    <w:rsid w:val="00EA038A"/>
    <w:rPr>
      <w:b/>
      <w:bCs/>
    </w:rPr>
  </w:style>
  <w:style w:type="character" w:styleId="HTMLDefinition">
    <w:name w:val="HTML Definition"/>
    <w:basedOn w:val="DefaultParagraphFont"/>
    <w:uiPriority w:val="99"/>
    <w:semiHidden/>
    <w:unhideWhenUsed/>
    <w:rsid w:val="00EA038A"/>
    <w:rPr>
      <w:i/>
      <w:iCs/>
    </w:rPr>
  </w:style>
  <w:style w:type="paragraph" w:customStyle="1" w:styleId="cf">
    <w:name w:val="cf"/>
    <w:basedOn w:val="Normal"/>
    <w:rsid w:val="00EA038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94031">
      <w:bodyDiv w:val="1"/>
      <w:marLeft w:val="0"/>
      <w:marRight w:val="0"/>
      <w:marTop w:val="0"/>
      <w:marBottom w:val="0"/>
      <w:divBdr>
        <w:top w:val="none" w:sz="0" w:space="0" w:color="auto"/>
        <w:left w:val="none" w:sz="0" w:space="0" w:color="auto"/>
        <w:bottom w:val="none" w:sz="0" w:space="0" w:color="auto"/>
        <w:right w:val="none" w:sz="0" w:space="0" w:color="auto"/>
      </w:divBdr>
    </w:div>
    <w:div w:id="2067948638">
      <w:bodyDiv w:val="1"/>
      <w:marLeft w:val="0"/>
      <w:marRight w:val="0"/>
      <w:marTop w:val="0"/>
      <w:marBottom w:val="0"/>
      <w:divBdr>
        <w:top w:val="none" w:sz="0" w:space="0" w:color="auto"/>
        <w:left w:val="none" w:sz="0" w:space="0" w:color="auto"/>
        <w:bottom w:val="none" w:sz="0" w:space="0" w:color="auto"/>
        <w:right w:val="none" w:sz="0" w:space="0" w:color="auto"/>
      </w:divBdr>
      <w:divsChild>
        <w:div w:id="163786634">
          <w:marLeft w:val="0"/>
          <w:marRight w:val="0"/>
          <w:marTop w:val="0"/>
          <w:marBottom w:val="0"/>
          <w:divBdr>
            <w:top w:val="none" w:sz="0" w:space="0" w:color="auto"/>
            <w:left w:val="none" w:sz="0" w:space="0" w:color="auto"/>
            <w:bottom w:val="none" w:sz="0" w:space="0" w:color="auto"/>
            <w:right w:val="none" w:sz="0" w:space="0" w:color="auto"/>
          </w:divBdr>
        </w:div>
        <w:div w:id="1259950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AD07-D54E-4373-93BE-FE82BEE6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F6000FB3</Template>
  <TotalTime>1</TotalTime>
  <Pages>4</Pages>
  <Words>1278</Words>
  <Characters>7288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Pritchard</dc:creator>
  <cp:lastModifiedBy>Mark Pritchard</cp:lastModifiedBy>
  <cp:revision>2</cp:revision>
  <dcterms:created xsi:type="dcterms:W3CDTF">2016-10-04T02:08:00Z</dcterms:created>
  <dcterms:modified xsi:type="dcterms:W3CDTF">2016-10-04T02:08:00Z</dcterms:modified>
</cp:coreProperties>
</file>