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FE3" w:rsidRPr="00070531" w:rsidRDefault="00C90FE3" w:rsidP="00C90FE3">
      <w:pPr>
        <w:jc w:val="center"/>
        <w:rPr>
          <w:b/>
          <w:sz w:val="28"/>
          <w:szCs w:val="28"/>
        </w:rPr>
      </w:pPr>
      <w:r>
        <w:rPr>
          <w:b/>
          <w:sz w:val="28"/>
          <w:szCs w:val="28"/>
        </w:rPr>
        <w:t xml:space="preserve">Summary of </w:t>
      </w:r>
      <w:r w:rsidRPr="00070531">
        <w:rPr>
          <w:b/>
          <w:sz w:val="28"/>
          <w:szCs w:val="28"/>
        </w:rPr>
        <w:t>IPONZ Technical Focus Group</w:t>
      </w:r>
    </w:p>
    <w:p w:rsidR="00C90FE3" w:rsidRDefault="00C90FE3" w:rsidP="00C90FE3">
      <w:pPr>
        <w:jc w:val="center"/>
        <w:rPr>
          <w:b/>
          <w:sz w:val="24"/>
          <w:szCs w:val="24"/>
        </w:rPr>
      </w:pPr>
      <w:r>
        <w:rPr>
          <w:b/>
          <w:sz w:val="24"/>
          <w:szCs w:val="24"/>
        </w:rPr>
        <w:t>Patents</w:t>
      </w:r>
      <w:r>
        <w:rPr>
          <w:b/>
          <w:sz w:val="24"/>
          <w:szCs w:val="24"/>
        </w:rPr>
        <w:tab/>
      </w:r>
      <w:r>
        <w:rPr>
          <w:b/>
          <w:sz w:val="24"/>
          <w:szCs w:val="24"/>
        </w:rPr>
        <w:tab/>
      </w:r>
      <w:r w:rsidRPr="00070531">
        <w:rPr>
          <w:b/>
          <w:sz w:val="24"/>
          <w:szCs w:val="24"/>
        </w:rPr>
        <w:t>Date of Meeting</w:t>
      </w:r>
      <w:r>
        <w:rPr>
          <w:b/>
          <w:sz w:val="24"/>
          <w:szCs w:val="24"/>
        </w:rPr>
        <w:t xml:space="preserve">: </w:t>
      </w:r>
      <w:r w:rsidR="009A740E">
        <w:rPr>
          <w:b/>
          <w:sz w:val="24"/>
          <w:szCs w:val="24"/>
        </w:rPr>
        <w:t>12 June</w:t>
      </w:r>
      <w:r w:rsidR="001F5125">
        <w:rPr>
          <w:b/>
          <w:sz w:val="24"/>
          <w:szCs w:val="24"/>
        </w:rPr>
        <w:t xml:space="preserve"> 2019</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50"/>
        <w:gridCol w:w="6392"/>
      </w:tblGrid>
      <w:tr w:rsidR="00C90FE3" w:rsidTr="00327718">
        <w:trPr>
          <w:tblHeader/>
        </w:trPr>
        <w:tc>
          <w:tcPr>
            <w:tcW w:w="2850" w:type="dxa"/>
            <w:tcBorders>
              <w:top w:val="single" w:sz="18" w:space="0" w:color="auto"/>
              <w:bottom w:val="single" w:sz="12" w:space="0" w:color="auto"/>
            </w:tcBorders>
          </w:tcPr>
          <w:p w:rsidR="00C90FE3" w:rsidRDefault="00C90FE3" w:rsidP="00DE767A">
            <w:pPr>
              <w:rPr>
                <w:b/>
                <w:sz w:val="24"/>
                <w:szCs w:val="24"/>
              </w:rPr>
            </w:pPr>
            <w:r>
              <w:rPr>
                <w:b/>
                <w:sz w:val="24"/>
                <w:szCs w:val="24"/>
              </w:rPr>
              <w:t>Agenda Items</w:t>
            </w:r>
          </w:p>
        </w:tc>
        <w:tc>
          <w:tcPr>
            <w:tcW w:w="6392" w:type="dxa"/>
            <w:tcBorders>
              <w:top w:val="single" w:sz="18" w:space="0" w:color="auto"/>
              <w:bottom w:val="single" w:sz="12" w:space="0" w:color="auto"/>
            </w:tcBorders>
          </w:tcPr>
          <w:p w:rsidR="00C90FE3" w:rsidRPr="00014780" w:rsidRDefault="00C90FE3" w:rsidP="00DE767A">
            <w:pPr>
              <w:rPr>
                <w:b/>
                <w:sz w:val="24"/>
                <w:szCs w:val="24"/>
              </w:rPr>
            </w:pPr>
            <w:r w:rsidRPr="00014780">
              <w:rPr>
                <w:b/>
                <w:sz w:val="24"/>
                <w:szCs w:val="24"/>
              </w:rPr>
              <w:t>Comments</w:t>
            </w:r>
          </w:p>
        </w:tc>
      </w:tr>
      <w:tr w:rsidR="0075731D" w:rsidTr="00327718">
        <w:tc>
          <w:tcPr>
            <w:tcW w:w="2850" w:type="dxa"/>
            <w:tcBorders>
              <w:top w:val="single" w:sz="12" w:space="0" w:color="auto"/>
            </w:tcBorders>
          </w:tcPr>
          <w:p w:rsidR="0075731D" w:rsidRPr="0075731D" w:rsidRDefault="009A740E" w:rsidP="00DE767A">
            <w:pPr>
              <w:pStyle w:val="ListParagraph"/>
              <w:numPr>
                <w:ilvl w:val="0"/>
                <w:numId w:val="1"/>
              </w:numPr>
              <w:rPr>
                <w:b/>
                <w:sz w:val="24"/>
                <w:szCs w:val="24"/>
              </w:rPr>
            </w:pPr>
            <w:r w:rsidRPr="009A740E">
              <w:rPr>
                <w:b/>
                <w:sz w:val="24"/>
                <w:szCs w:val="24"/>
              </w:rPr>
              <w:t>Fee review update - process and timeframes</w:t>
            </w:r>
          </w:p>
        </w:tc>
        <w:tc>
          <w:tcPr>
            <w:tcW w:w="6392" w:type="dxa"/>
            <w:tcBorders>
              <w:top w:val="single" w:sz="12" w:space="0" w:color="auto"/>
            </w:tcBorders>
          </w:tcPr>
          <w:p w:rsidR="0075731D" w:rsidRDefault="00006C89" w:rsidP="00DE767A">
            <w:pPr>
              <w:pStyle w:val="AJP3ptbullet"/>
              <w:numPr>
                <w:ilvl w:val="0"/>
                <w:numId w:val="0"/>
              </w:numPr>
              <w:spacing w:after="240"/>
              <w:rPr>
                <w:rFonts w:asciiTheme="minorHAnsi" w:hAnsiTheme="minorHAnsi"/>
                <w:sz w:val="24"/>
              </w:rPr>
            </w:pPr>
            <w:r>
              <w:rPr>
                <w:rFonts w:asciiTheme="minorHAnsi" w:hAnsiTheme="minorHAnsi"/>
                <w:sz w:val="24"/>
              </w:rPr>
              <w:t xml:space="preserve">The Parliamentary Counsel Office has prepared a first draft of amendments to the </w:t>
            </w:r>
            <w:proofErr w:type="spellStart"/>
            <w:r>
              <w:rPr>
                <w:rFonts w:asciiTheme="minorHAnsi" w:hAnsiTheme="minorHAnsi"/>
                <w:sz w:val="24"/>
              </w:rPr>
              <w:t>Trade</w:t>
            </w:r>
            <w:r w:rsidR="00DE767A">
              <w:rPr>
                <w:rFonts w:asciiTheme="minorHAnsi" w:hAnsiTheme="minorHAnsi"/>
                <w:sz w:val="24"/>
              </w:rPr>
              <w:t xml:space="preserve"> </w:t>
            </w:r>
            <w:r>
              <w:rPr>
                <w:rFonts w:asciiTheme="minorHAnsi" w:hAnsiTheme="minorHAnsi"/>
                <w:sz w:val="24"/>
              </w:rPr>
              <w:t>marks</w:t>
            </w:r>
            <w:proofErr w:type="spellEnd"/>
            <w:r>
              <w:rPr>
                <w:rFonts w:asciiTheme="minorHAnsi" w:hAnsiTheme="minorHAnsi"/>
                <w:sz w:val="24"/>
              </w:rPr>
              <w:t xml:space="preserve"> and Patents Regulations.</w:t>
            </w:r>
          </w:p>
          <w:p w:rsidR="00006C89" w:rsidRDefault="00006C89" w:rsidP="00DE767A">
            <w:pPr>
              <w:pStyle w:val="AJP3ptbullet"/>
              <w:numPr>
                <w:ilvl w:val="0"/>
                <w:numId w:val="0"/>
              </w:numPr>
              <w:spacing w:after="240"/>
              <w:rPr>
                <w:rFonts w:asciiTheme="minorHAnsi" w:hAnsiTheme="minorHAnsi"/>
                <w:sz w:val="24"/>
              </w:rPr>
            </w:pPr>
            <w:r>
              <w:rPr>
                <w:rFonts w:asciiTheme="minorHAnsi" w:hAnsiTheme="minorHAnsi"/>
                <w:sz w:val="24"/>
              </w:rPr>
              <w:t>IPONZ has requested approval from MBIE</w:t>
            </w:r>
            <w:r w:rsidR="00DE767A">
              <w:rPr>
                <w:rFonts w:asciiTheme="minorHAnsi" w:hAnsiTheme="minorHAnsi"/>
                <w:sz w:val="24"/>
              </w:rPr>
              <w:t xml:space="preserve"> </w:t>
            </w:r>
            <w:r w:rsidR="00DE767A">
              <w:rPr>
                <w:rFonts w:asciiTheme="minorHAnsi" w:hAnsiTheme="minorHAnsi"/>
                <w:sz w:val="24"/>
              </w:rPr>
              <w:t>to release exposure drafts</w:t>
            </w:r>
            <w:r>
              <w:rPr>
                <w:rFonts w:asciiTheme="minorHAnsi" w:hAnsiTheme="minorHAnsi"/>
                <w:sz w:val="24"/>
              </w:rPr>
              <w:t>.</w:t>
            </w:r>
          </w:p>
          <w:p w:rsidR="00DE767A" w:rsidRDefault="00DE767A" w:rsidP="00DE767A">
            <w:pPr>
              <w:pStyle w:val="AJP3ptbullet"/>
              <w:numPr>
                <w:ilvl w:val="0"/>
                <w:numId w:val="0"/>
              </w:numPr>
              <w:spacing w:after="240"/>
              <w:rPr>
                <w:rFonts w:asciiTheme="minorHAnsi" w:hAnsiTheme="minorHAnsi"/>
                <w:sz w:val="24"/>
              </w:rPr>
            </w:pPr>
            <w:r>
              <w:rPr>
                <w:rFonts w:asciiTheme="minorHAnsi" w:hAnsiTheme="minorHAnsi"/>
                <w:sz w:val="24"/>
              </w:rPr>
              <w:t>IPONZ hopes to have the fee increases take effect in October 2019.</w:t>
            </w:r>
          </w:p>
          <w:p w:rsidR="00006C89" w:rsidRPr="000E6F17" w:rsidRDefault="00006C89" w:rsidP="00DE767A">
            <w:pPr>
              <w:pStyle w:val="AJP3ptbullet"/>
              <w:numPr>
                <w:ilvl w:val="0"/>
                <w:numId w:val="0"/>
              </w:numPr>
              <w:spacing w:after="240"/>
              <w:rPr>
                <w:rFonts w:asciiTheme="minorHAnsi" w:hAnsiTheme="minorHAnsi"/>
                <w:sz w:val="24"/>
              </w:rPr>
            </w:pPr>
            <w:r>
              <w:rPr>
                <w:rFonts w:asciiTheme="minorHAnsi" w:hAnsiTheme="minorHAnsi"/>
                <w:sz w:val="24"/>
              </w:rPr>
              <w:t xml:space="preserve">The actual fee changes have not been released yet, but </w:t>
            </w:r>
            <w:r w:rsidR="00DE767A">
              <w:rPr>
                <w:rFonts w:asciiTheme="minorHAnsi" w:hAnsiTheme="minorHAnsi"/>
                <w:sz w:val="24"/>
              </w:rPr>
              <w:t>are</w:t>
            </w:r>
            <w:r>
              <w:rPr>
                <w:rFonts w:asciiTheme="minorHAnsi" w:hAnsiTheme="minorHAnsi"/>
                <w:sz w:val="24"/>
              </w:rPr>
              <w:t xml:space="preserve"> be in the Cabinet Paper. </w:t>
            </w:r>
            <w:r w:rsidR="00DE767A">
              <w:rPr>
                <w:rFonts w:asciiTheme="minorHAnsi" w:hAnsiTheme="minorHAnsi"/>
                <w:sz w:val="24"/>
              </w:rPr>
              <w:t>It is u</w:t>
            </w:r>
            <w:r>
              <w:rPr>
                <w:rFonts w:asciiTheme="minorHAnsi" w:hAnsiTheme="minorHAnsi"/>
                <w:sz w:val="24"/>
              </w:rPr>
              <w:t>nclear whether that Cabinet Paper has been proactively released.</w:t>
            </w:r>
          </w:p>
        </w:tc>
      </w:tr>
      <w:tr w:rsidR="00C90FE3" w:rsidTr="00327718">
        <w:tc>
          <w:tcPr>
            <w:tcW w:w="2850" w:type="dxa"/>
            <w:tcBorders>
              <w:top w:val="single" w:sz="12" w:space="0" w:color="auto"/>
            </w:tcBorders>
          </w:tcPr>
          <w:p w:rsidR="00C90FE3" w:rsidRPr="00704771" w:rsidRDefault="009A740E" w:rsidP="00DE767A">
            <w:pPr>
              <w:pStyle w:val="ListParagraph"/>
              <w:numPr>
                <w:ilvl w:val="0"/>
                <w:numId w:val="1"/>
              </w:numPr>
              <w:rPr>
                <w:b/>
                <w:sz w:val="24"/>
                <w:szCs w:val="24"/>
              </w:rPr>
            </w:pPr>
            <w:r w:rsidRPr="009A740E">
              <w:rPr>
                <w:b/>
                <w:sz w:val="24"/>
                <w:szCs w:val="24"/>
              </w:rPr>
              <w:t>MBIE policy update on IP Omnibus consultation</w:t>
            </w:r>
          </w:p>
        </w:tc>
        <w:tc>
          <w:tcPr>
            <w:tcW w:w="6392" w:type="dxa"/>
            <w:tcBorders>
              <w:top w:val="single" w:sz="12" w:space="0" w:color="auto"/>
            </w:tcBorders>
          </w:tcPr>
          <w:p w:rsidR="0075731D" w:rsidRPr="00014780" w:rsidRDefault="00006C89" w:rsidP="00DE767A">
            <w:pPr>
              <w:pStyle w:val="AJP3ptbullet"/>
              <w:numPr>
                <w:ilvl w:val="0"/>
                <w:numId w:val="0"/>
              </w:numPr>
              <w:spacing w:after="240"/>
              <w:rPr>
                <w:rFonts w:asciiTheme="minorHAnsi" w:hAnsiTheme="minorHAnsi"/>
                <w:sz w:val="24"/>
              </w:rPr>
            </w:pPr>
            <w:r>
              <w:rPr>
                <w:rFonts w:asciiTheme="minorHAnsi" w:hAnsiTheme="minorHAnsi"/>
                <w:sz w:val="24"/>
              </w:rPr>
              <w:t>Warren Hassett is</w:t>
            </w:r>
            <w:r>
              <w:rPr>
                <w:rFonts w:asciiTheme="minorHAnsi" w:hAnsiTheme="minorHAnsi"/>
                <w:sz w:val="24"/>
              </w:rPr>
              <w:t xml:space="preserve"> happy to meet for discussions with any interested parties in July. </w:t>
            </w:r>
          </w:p>
        </w:tc>
      </w:tr>
      <w:tr w:rsidR="00C90FE3" w:rsidTr="00327718">
        <w:tc>
          <w:tcPr>
            <w:tcW w:w="2850" w:type="dxa"/>
            <w:tcBorders>
              <w:top w:val="single" w:sz="12" w:space="0" w:color="auto"/>
            </w:tcBorders>
          </w:tcPr>
          <w:p w:rsidR="00C90FE3" w:rsidRPr="00704771" w:rsidRDefault="009A740E" w:rsidP="00DE767A">
            <w:pPr>
              <w:pStyle w:val="ListParagraph"/>
              <w:numPr>
                <w:ilvl w:val="0"/>
                <w:numId w:val="1"/>
              </w:numPr>
              <w:rPr>
                <w:b/>
                <w:sz w:val="24"/>
                <w:szCs w:val="24"/>
              </w:rPr>
            </w:pPr>
            <w:r w:rsidRPr="009A740E">
              <w:rPr>
                <w:b/>
                <w:sz w:val="24"/>
                <w:szCs w:val="24"/>
              </w:rPr>
              <w:t xml:space="preserve">Parent / divisional overlap – </w:t>
            </w:r>
            <w:r>
              <w:rPr>
                <w:b/>
                <w:sz w:val="24"/>
                <w:szCs w:val="24"/>
              </w:rPr>
              <w:t>R</w:t>
            </w:r>
            <w:r w:rsidRPr="009A740E">
              <w:rPr>
                <w:b/>
                <w:sz w:val="24"/>
                <w:szCs w:val="24"/>
              </w:rPr>
              <w:t>eg</w:t>
            </w:r>
            <w:r>
              <w:rPr>
                <w:b/>
                <w:sz w:val="24"/>
                <w:szCs w:val="24"/>
              </w:rPr>
              <w:t>ulation</w:t>
            </w:r>
            <w:r w:rsidRPr="009A740E">
              <w:rPr>
                <w:b/>
                <w:sz w:val="24"/>
                <w:szCs w:val="24"/>
              </w:rPr>
              <w:t xml:space="preserve"> 82</w:t>
            </w:r>
          </w:p>
        </w:tc>
        <w:tc>
          <w:tcPr>
            <w:tcW w:w="6392" w:type="dxa"/>
            <w:tcBorders>
              <w:top w:val="single" w:sz="12" w:space="0" w:color="auto"/>
            </w:tcBorders>
          </w:tcPr>
          <w:p w:rsidR="0075731D" w:rsidRDefault="00CC6146" w:rsidP="00DE767A">
            <w:pPr>
              <w:pStyle w:val="LetterNormal"/>
              <w:rPr>
                <w:rFonts w:asciiTheme="minorHAnsi" w:hAnsiTheme="minorHAnsi"/>
                <w:sz w:val="24"/>
              </w:rPr>
            </w:pPr>
            <w:r>
              <w:rPr>
                <w:rFonts w:asciiTheme="minorHAnsi" w:hAnsiTheme="minorHAnsi"/>
                <w:sz w:val="24"/>
              </w:rPr>
              <w:t>A</w:t>
            </w:r>
            <w:r w:rsidR="00006C89">
              <w:rPr>
                <w:rFonts w:asciiTheme="minorHAnsi" w:hAnsiTheme="minorHAnsi"/>
                <w:sz w:val="24"/>
              </w:rPr>
              <w:t xml:space="preserve">dvice given in a previous Patents TFG Meeting regarding </w:t>
            </w:r>
            <w:r>
              <w:rPr>
                <w:rFonts w:asciiTheme="minorHAnsi" w:hAnsiTheme="minorHAnsi"/>
                <w:sz w:val="24"/>
              </w:rPr>
              <w:t>IPONZ’s</w:t>
            </w:r>
            <w:r w:rsidR="00006C89">
              <w:rPr>
                <w:rFonts w:asciiTheme="minorHAnsi" w:hAnsiTheme="minorHAnsi"/>
                <w:sz w:val="24"/>
              </w:rPr>
              <w:t xml:space="preserve"> approach to Regulation 82 was incorrect.</w:t>
            </w:r>
          </w:p>
          <w:p w:rsidR="00006C89" w:rsidRDefault="00006C89" w:rsidP="00DE767A">
            <w:pPr>
              <w:pStyle w:val="LetterNormal"/>
              <w:rPr>
                <w:rFonts w:asciiTheme="minorHAnsi" w:hAnsiTheme="minorHAnsi"/>
                <w:sz w:val="24"/>
              </w:rPr>
            </w:pPr>
            <w:r>
              <w:rPr>
                <w:rFonts w:asciiTheme="minorHAnsi" w:hAnsiTheme="minorHAnsi"/>
                <w:sz w:val="24"/>
              </w:rPr>
              <w:t>IPONZ considers it is not possible to</w:t>
            </w:r>
            <w:r w:rsidR="00CC6146">
              <w:rPr>
                <w:rFonts w:asciiTheme="minorHAnsi" w:hAnsiTheme="minorHAnsi"/>
                <w:sz w:val="24"/>
              </w:rPr>
              <w:t xml:space="preserve"> interpret Regulation 82 to allow</w:t>
            </w:r>
            <w:r>
              <w:rPr>
                <w:rFonts w:asciiTheme="minorHAnsi" w:hAnsiTheme="minorHAnsi"/>
                <w:sz w:val="24"/>
              </w:rPr>
              <w:t xml:space="preserve"> surrender </w:t>
            </w:r>
            <w:r w:rsidR="00CC6146">
              <w:rPr>
                <w:rFonts w:asciiTheme="minorHAnsi" w:hAnsiTheme="minorHAnsi"/>
                <w:sz w:val="24"/>
              </w:rPr>
              <w:t xml:space="preserve">of </w:t>
            </w:r>
            <w:r>
              <w:rPr>
                <w:rFonts w:asciiTheme="minorHAnsi" w:hAnsiTheme="minorHAnsi"/>
                <w:sz w:val="24"/>
              </w:rPr>
              <w:t xml:space="preserve">an application post-acceptance to resolve a parent/divisional overlap objection. This is a departure from previous practice, and was not foreshadowed in what was supposed to be merely a ‘technical’ amendment to Regulation 82 to clarify that parent/divisional overlap is an acceptance </w:t>
            </w:r>
            <w:r w:rsidR="00DE767A">
              <w:rPr>
                <w:rFonts w:asciiTheme="minorHAnsi" w:hAnsiTheme="minorHAnsi"/>
                <w:sz w:val="24"/>
              </w:rPr>
              <w:t>matter</w:t>
            </w:r>
            <w:r>
              <w:rPr>
                <w:rFonts w:asciiTheme="minorHAnsi" w:hAnsiTheme="minorHAnsi"/>
                <w:sz w:val="24"/>
              </w:rPr>
              <w:t xml:space="preserve">, not a filing </w:t>
            </w:r>
            <w:r w:rsidR="00DE767A">
              <w:rPr>
                <w:rFonts w:asciiTheme="minorHAnsi" w:hAnsiTheme="minorHAnsi"/>
                <w:sz w:val="24"/>
              </w:rPr>
              <w:t>matter</w:t>
            </w:r>
            <w:r>
              <w:rPr>
                <w:rFonts w:asciiTheme="minorHAnsi" w:hAnsiTheme="minorHAnsi"/>
                <w:sz w:val="24"/>
              </w:rPr>
              <w:t>.</w:t>
            </w:r>
          </w:p>
          <w:p w:rsidR="00CC6146" w:rsidRDefault="00CC6146" w:rsidP="00DE767A">
            <w:pPr>
              <w:pStyle w:val="LetterNormal"/>
              <w:rPr>
                <w:rFonts w:asciiTheme="minorHAnsi" w:hAnsiTheme="minorHAnsi"/>
                <w:sz w:val="24"/>
              </w:rPr>
            </w:pPr>
            <w:r>
              <w:rPr>
                <w:rFonts w:asciiTheme="minorHAnsi" w:hAnsiTheme="minorHAnsi"/>
                <w:sz w:val="24"/>
              </w:rPr>
              <w:t>MBIE considers the divisional system is being used in ways that it was never intended to be used. Policy reasons mean that an applicant should not be permitted to surrender an accepted application and present the same claims in a divisional (or parent).</w:t>
            </w:r>
          </w:p>
          <w:p w:rsidR="00006C89" w:rsidRPr="00014780" w:rsidRDefault="00CC6146" w:rsidP="00DE767A">
            <w:pPr>
              <w:pStyle w:val="LetterNormal"/>
              <w:rPr>
                <w:rFonts w:asciiTheme="minorHAnsi" w:hAnsiTheme="minorHAnsi"/>
                <w:sz w:val="24"/>
              </w:rPr>
            </w:pPr>
            <w:r>
              <w:rPr>
                <w:rFonts w:asciiTheme="minorHAnsi" w:hAnsiTheme="minorHAnsi"/>
                <w:sz w:val="24"/>
              </w:rPr>
              <w:t>Interested parties can make submissions on this issue as part of the IP Omnibus Bill consultation.</w:t>
            </w:r>
            <w:r w:rsidR="00006C89">
              <w:rPr>
                <w:rFonts w:asciiTheme="minorHAnsi" w:hAnsiTheme="minorHAnsi"/>
                <w:sz w:val="24"/>
              </w:rPr>
              <w:t xml:space="preserve"> </w:t>
            </w:r>
          </w:p>
        </w:tc>
      </w:tr>
      <w:tr w:rsidR="00C90FE3" w:rsidTr="00327718">
        <w:tc>
          <w:tcPr>
            <w:tcW w:w="2850" w:type="dxa"/>
            <w:tcBorders>
              <w:top w:val="single" w:sz="12" w:space="0" w:color="auto"/>
            </w:tcBorders>
          </w:tcPr>
          <w:p w:rsidR="00C90FE3" w:rsidRPr="0075731D" w:rsidRDefault="009A740E" w:rsidP="00DE767A">
            <w:pPr>
              <w:pStyle w:val="ListParagraph"/>
              <w:numPr>
                <w:ilvl w:val="0"/>
                <w:numId w:val="1"/>
              </w:numPr>
              <w:rPr>
                <w:b/>
                <w:sz w:val="24"/>
                <w:szCs w:val="24"/>
              </w:rPr>
            </w:pPr>
            <w:r w:rsidRPr="009A740E">
              <w:rPr>
                <w:b/>
                <w:sz w:val="24"/>
                <w:szCs w:val="24"/>
              </w:rPr>
              <w:t>Hearings practice on implementing decisions</w:t>
            </w:r>
          </w:p>
        </w:tc>
        <w:tc>
          <w:tcPr>
            <w:tcW w:w="6392" w:type="dxa"/>
            <w:tcBorders>
              <w:top w:val="single" w:sz="12" w:space="0" w:color="auto"/>
            </w:tcBorders>
          </w:tcPr>
          <w:p w:rsidR="00CC6146" w:rsidRDefault="00CC6146" w:rsidP="00DE767A">
            <w:pPr>
              <w:pStyle w:val="LetterNormal"/>
              <w:rPr>
                <w:rFonts w:asciiTheme="minorHAnsi" w:hAnsiTheme="minorHAnsi"/>
                <w:sz w:val="24"/>
              </w:rPr>
            </w:pPr>
            <w:r>
              <w:rPr>
                <w:rFonts w:asciiTheme="minorHAnsi" w:hAnsiTheme="minorHAnsi"/>
                <w:sz w:val="24"/>
              </w:rPr>
              <w:t>Previously, when a decision issued following a request for a hearing on an examination issue, a hearings task was created, setting a deadline for appeal. But the examination task would linger, and the application would go abandoned if that was not dealt with.</w:t>
            </w:r>
          </w:p>
          <w:p w:rsidR="00CC6146" w:rsidRPr="00014780" w:rsidRDefault="00CC6146" w:rsidP="00DE767A">
            <w:pPr>
              <w:pStyle w:val="LetterNormal"/>
              <w:rPr>
                <w:rFonts w:asciiTheme="minorHAnsi" w:hAnsiTheme="minorHAnsi"/>
                <w:sz w:val="24"/>
              </w:rPr>
            </w:pPr>
            <w:r>
              <w:rPr>
                <w:rFonts w:asciiTheme="minorHAnsi" w:hAnsiTheme="minorHAnsi"/>
                <w:sz w:val="24"/>
              </w:rPr>
              <w:lastRenderedPageBreak/>
              <w:t xml:space="preserve">IPONZ have implemented changes to their process to avoid this. An application will not have multiple tasks outstanding and, instead, the change in the hearing status </w:t>
            </w:r>
            <w:r w:rsidR="002C4BFF">
              <w:rPr>
                <w:rFonts w:asciiTheme="minorHAnsi" w:hAnsiTheme="minorHAnsi"/>
                <w:sz w:val="24"/>
              </w:rPr>
              <w:t xml:space="preserve">will be linked </w:t>
            </w:r>
            <w:r>
              <w:rPr>
                <w:rFonts w:asciiTheme="minorHAnsi" w:hAnsiTheme="minorHAnsi"/>
                <w:sz w:val="24"/>
              </w:rPr>
              <w:t>back to the examination status.</w:t>
            </w:r>
          </w:p>
        </w:tc>
      </w:tr>
      <w:tr w:rsidR="00C90FE3" w:rsidTr="00327718">
        <w:tc>
          <w:tcPr>
            <w:tcW w:w="2850" w:type="dxa"/>
            <w:tcBorders>
              <w:top w:val="single" w:sz="12" w:space="0" w:color="auto"/>
            </w:tcBorders>
          </w:tcPr>
          <w:p w:rsidR="00C90FE3" w:rsidRPr="00327718" w:rsidRDefault="009A740E" w:rsidP="00DE767A">
            <w:pPr>
              <w:pStyle w:val="ListParagraph"/>
              <w:numPr>
                <w:ilvl w:val="0"/>
                <w:numId w:val="1"/>
              </w:numPr>
              <w:rPr>
                <w:b/>
                <w:sz w:val="24"/>
                <w:szCs w:val="24"/>
              </w:rPr>
            </w:pPr>
            <w:r w:rsidRPr="009A740E">
              <w:rPr>
                <w:b/>
                <w:sz w:val="24"/>
                <w:szCs w:val="24"/>
              </w:rPr>
              <w:lastRenderedPageBreak/>
              <w:t>Approach to GPPH requests</w:t>
            </w:r>
          </w:p>
        </w:tc>
        <w:tc>
          <w:tcPr>
            <w:tcW w:w="6392" w:type="dxa"/>
            <w:tcBorders>
              <w:top w:val="single" w:sz="12" w:space="0" w:color="auto"/>
            </w:tcBorders>
          </w:tcPr>
          <w:p w:rsidR="00CC6146" w:rsidRDefault="00CC6146" w:rsidP="00DE767A">
            <w:pPr>
              <w:pStyle w:val="LetterNormal"/>
              <w:rPr>
                <w:rFonts w:asciiTheme="minorHAnsi" w:hAnsiTheme="minorHAnsi"/>
                <w:bCs/>
                <w:sz w:val="24"/>
              </w:rPr>
            </w:pPr>
            <w:r>
              <w:rPr>
                <w:rFonts w:asciiTheme="minorHAnsi" w:hAnsiTheme="minorHAnsi"/>
                <w:bCs/>
                <w:sz w:val="24"/>
              </w:rPr>
              <w:t xml:space="preserve">This was discussed when reviewing the minutes for the previous meeting. It was pointed out that there is often inconsistency between IPONZ’s approach and that </w:t>
            </w:r>
            <w:r w:rsidR="002C4BFF">
              <w:rPr>
                <w:rFonts w:asciiTheme="minorHAnsi" w:hAnsiTheme="minorHAnsi"/>
                <w:bCs/>
                <w:sz w:val="24"/>
              </w:rPr>
              <w:t>of</w:t>
            </w:r>
            <w:r>
              <w:rPr>
                <w:rFonts w:asciiTheme="minorHAnsi" w:hAnsiTheme="minorHAnsi"/>
                <w:bCs/>
                <w:sz w:val="24"/>
              </w:rPr>
              <w:t xml:space="preserve"> other offices.</w:t>
            </w:r>
          </w:p>
          <w:p w:rsidR="00CC6146" w:rsidRPr="008D27E7" w:rsidRDefault="00CC6146" w:rsidP="00DE767A">
            <w:pPr>
              <w:pStyle w:val="LetterNormal"/>
              <w:rPr>
                <w:rFonts w:asciiTheme="minorHAnsi" w:hAnsiTheme="minorHAnsi"/>
                <w:bCs/>
                <w:sz w:val="24"/>
              </w:rPr>
            </w:pPr>
            <w:r>
              <w:rPr>
                <w:rFonts w:asciiTheme="minorHAnsi" w:hAnsiTheme="minorHAnsi"/>
                <w:bCs/>
                <w:sz w:val="24"/>
              </w:rPr>
              <w:t>IPONZ aims for consistency with overseas offices.</w:t>
            </w:r>
          </w:p>
        </w:tc>
      </w:tr>
      <w:tr w:rsidR="00C90FE3" w:rsidTr="00327718">
        <w:tc>
          <w:tcPr>
            <w:tcW w:w="2850" w:type="dxa"/>
            <w:tcBorders>
              <w:top w:val="single" w:sz="12" w:space="0" w:color="auto"/>
            </w:tcBorders>
          </w:tcPr>
          <w:p w:rsidR="00C90FE3" w:rsidRPr="00704771" w:rsidRDefault="009A740E" w:rsidP="00DE767A">
            <w:pPr>
              <w:pStyle w:val="ListParagraph"/>
              <w:numPr>
                <w:ilvl w:val="0"/>
                <w:numId w:val="1"/>
              </w:numPr>
              <w:rPr>
                <w:b/>
                <w:sz w:val="24"/>
                <w:szCs w:val="24"/>
              </w:rPr>
            </w:pPr>
            <w:r w:rsidRPr="009A740E">
              <w:rPr>
                <w:b/>
                <w:i/>
                <w:iCs/>
                <w:sz w:val="24"/>
                <w:szCs w:val="24"/>
              </w:rPr>
              <w:t xml:space="preserve">Xyleco, Inc </w:t>
            </w:r>
            <w:r w:rsidRPr="009A740E">
              <w:rPr>
                <w:b/>
                <w:iCs/>
                <w:sz w:val="24"/>
                <w:szCs w:val="24"/>
              </w:rPr>
              <w:t>[2019] NZIPOPAT 7 – implications on office practice for divisional applications under Patents Act 1953</w:t>
            </w:r>
          </w:p>
        </w:tc>
        <w:tc>
          <w:tcPr>
            <w:tcW w:w="6392" w:type="dxa"/>
            <w:tcBorders>
              <w:top w:val="single" w:sz="12" w:space="0" w:color="auto"/>
            </w:tcBorders>
          </w:tcPr>
          <w:p w:rsidR="00FB3742" w:rsidRDefault="00CC6146" w:rsidP="00DE767A">
            <w:pPr>
              <w:pStyle w:val="LetterNormal"/>
              <w:rPr>
                <w:rFonts w:asciiTheme="minorHAnsi" w:hAnsiTheme="minorHAnsi"/>
                <w:sz w:val="24"/>
              </w:rPr>
            </w:pPr>
            <w:r>
              <w:rPr>
                <w:rFonts w:asciiTheme="minorHAnsi" w:hAnsiTheme="minorHAnsi"/>
                <w:sz w:val="24"/>
              </w:rPr>
              <w:t>This decision relates to ante-dating of divisional applications.</w:t>
            </w:r>
            <w:r w:rsidR="00E93E23">
              <w:rPr>
                <w:rFonts w:asciiTheme="minorHAnsi" w:hAnsiTheme="minorHAnsi"/>
                <w:sz w:val="24"/>
              </w:rPr>
              <w:t xml:space="preserve"> Specifically, an application needs to be eligible for ante-dating on filing.</w:t>
            </w:r>
          </w:p>
          <w:p w:rsidR="00FB3742" w:rsidRDefault="00E93E23" w:rsidP="00DE767A">
            <w:pPr>
              <w:pStyle w:val="LetterNormal"/>
              <w:rPr>
                <w:rFonts w:asciiTheme="minorHAnsi" w:hAnsiTheme="minorHAnsi"/>
                <w:sz w:val="24"/>
              </w:rPr>
            </w:pPr>
            <w:r>
              <w:rPr>
                <w:rFonts w:asciiTheme="minorHAnsi" w:hAnsiTheme="minorHAnsi"/>
                <w:sz w:val="24"/>
              </w:rPr>
              <w:t xml:space="preserve">The practical effect is that a divisional from an application proceeding under PA1953 is </w:t>
            </w:r>
            <w:r w:rsidRPr="00E93E23">
              <w:rPr>
                <w:rFonts w:asciiTheme="minorHAnsi" w:hAnsiTheme="minorHAnsi"/>
                <w:i/>
                <w:sz w:val="24"/>
              </w:rPr>
              <w:t>prima facie</w:t>
            </w:r>
            <w:r>
              <w:rPr>
                <w:rFonts w:asciiTheme="minorHAnsi" w:hAnsiTheme="minorHAnsi"/>
                <w:sz w:val="24"/>
              </w:rPr>
              <w:t xml:space="preserve"> an application under PA2013 until it has been assessed as eligible for antedating. That assessment is, therefore, done under s34(3) PA2013, which requires </w:t>
            </w:r>
            <w:r w:rsidR="00FB3742">
              <w:rPr>
                <w:rFonts w:asciiTheme="minorHAnsi" w:hAnsiTheme="minorHAnsi"/>
                <w:sz w:val="24"/>
              </w:rPr>
              <w:t>‘</w:t>
            </w:r>
            <w:r w:rsidR="00FB3742" w:rsidRPr="00FB3742">
              <w:rPr>
                <w:rFonts w:asciiTheme="minorHAnsi" w:hAnsiTheme="minorHAnsi"/>
                <w:sz w:val="24"/>
              </w:rPr>
              <w:t>the divisional application is only in respect of subject</w:t>
            </w:r>
            <w:r w:rsidR="00FB3742">
              <w:rPr>
                <w:rFonts w:asciiTheme="minorHAnsi" w:hAnsiTheme="minorHAnsi"/>
                <w:sz w:val="24"/>
              </w:rPr>
              <w:t xml:space="preserve"> </w:t>
            </w:r>
            <w:r w:rsidR="00FB3742" w:rsidRPr="00FB3742">
              <w:rPr>
                <w:rFonts w:asciiTheme="minorHAnsi" w:hAnsiTheme="minorHAnsi"/>
                <w:sz w:val="24"/>
              </w:rPr>
              <w:t>matter that was in substance disclosed by the parent application</w:t>
            </w:r>
            <w:r w:rsidR="00FB3742">
              <w:rPr>
                <w:rFonts w:asciiTheme="minorHAnsi" w:hAnsiTheme="minorHAnsi"/>
                <w:sz w:val="24"/>
              </w:rPr>
              <w:t xml:space="preserve"> </w:t>
            </w:r>
            <w:r w:rsidR="00FB3742" w:rsidRPr="00FB3742">
              <w:rPr>
                <w:rFonts w:asciiTheme="minorHAnsi" w:hAnsiTheme="minorHAnsi"/>
                <w:sz w:val="24"/>
              </w:rPr>
              <w:t>as filed</w:t>
            </w:r>
            <w:r w:rsidR="00FB3742">
              <w:rPr>
                <w:rFonts w:asciiTheme="minorHAnsi" w:hAnsiTheme="minorHAnsi"/>
                <w:sz w:val="24"/>
              </w:rPr>
              <w:t>’. Once assessed as eligible for antedating, examination of such a divisional should then proceed under PA1953 – e.g. fair basis instead of support.</w:t>
            </w:r>
          </w:p>
          <w:p w:rsidR="00FB3742" w:rsidRDefault="00FB3742" w:rsidP="00DE767A">
            <w:pPr>
              <w:pStyle w:val="LetterNormal"/>
              <w:rPr>
                <w:rFonts w:asciiTheme="minorHAnsi" w:hAnsiTheme="minorHAnsi"/>
                <w:sz w:val="24"/>
              </w:rPr>
            </w:pPr>
            <w:r>
              <w:rPr>
                <w:rFonts w:asciiTheme="minorHAnsi" w:hAnsiTheme="minorHAnsi"/>
                <w:sz w:val="24"/>
              </w:rPr>
              <w:t>If the application is not antedated, the applicant should be advised before substantive examination commences</w:t>
            </w:r>
            <w:r w:rsidR="002C4BFF">
              <w:rPr>
                <w:rFonts w:asciiTheme="minorHAnsi" w:hAnsiTheme="minorHAnsi"/>
                <w:sz w:val="24"/>
              </w:rPr>
              <w:t xml:space="preserve">, which </w:t>
            </w:r>
            <w:r w:rsidR="002E7EBE">
              <w:rPr>
                <w:rFonts w:asciiTheme="minorHAnsi" w:hAnsiTheme="minorHAnsi"/>
                <w:sz w:val="24"/>
              </w:rPr>
              <w:t>would proceed under PA2013</w:t>
            </w:r>
            <w:r>
              <w:rPr>
                <w:rFonts w:asciiTheme="minorHAnsi" w:hAnsiTheme="minorHAnsi"/>
                <w:sz w:val="24"/>
              </w:rPr>
              <w:t>.</w:t>
            </w:r>
          </w:p>
          <w:p w:rsidR="00FB3742" w:rsidRPr="00014780" w:rsidRDefault="00FB3742" w:rsidP="00DE767A">
            <w:pPr>
              <w:pStyle w:val="LetterNormal"/>
              <w:rPr>
                <w:rFonts w:asciiTheme="minorHAnsi" w:hAnsiTheme="minorHAnsi"/>
                <w:sz w:val="24"/>
              </w:rPr>
            </w:pPr>
            <w:r>
              <w:rPr>
                <w:rFonts w:asciiTheme="minorHAnsi" w:hAnsiTheme="minorHAnsi"/>
                <w:sz w:val="24"/>
              </w:rPr>
              <w:t xml:space="preserve">Any amendments that would be permitted under PA1953 but not under PA2013 (e.g. addition of definition of ‘comprising’ etc) should, therefore, be made AFTER filing and not when filing a divisional from </w:t>
            </w:r>
            <w:r>
              <w:rPr>
                <w:rFonts w:asciiTheme="minorHAnsi" w:hAnsiTheme="minorHAnsi"/>
                <w:sz w:val="24"/>
              </w:rPr>
              <w:t>an application proceeding under PA1953</w:t>
            </w:r>
            <w:r>
              <w:rPr>
                <w:rFonts w:asciiTheme="minorHAnsi" w:hAnsiTheme="minorHAnsi"/>
                <w:sz w:val="24"/>
              </w:rPr>
              <w:t>. Filing the divisional with a specification identical to that of the parent</w:t>
            </w:r>
            <w:r w:rsidR="002E7EBE">
              <w:rPr>
                <w:rFonts w:asciiTheme="minorHAnsi" w:hAnsiTheme="minorHAnsi"/>
                <w:sz w:val="24"/>
              </w:rPr>
              <w:t xml:space="preserve"> PCT (for applications ultimately derived from a national phase entry)</w:t>
            </w:r>
            <w:r>
              <w:rPr>
                <w:rFonts w:asciiTheme="minorHAnsi" w:hAnsiTheme="minorHAnsi"/>
                <w:sz w:val="24"/>
              </w:rPr>
              <w:t>, and then mak</w:t>
            </w:r>
            <w:r w:rsidR="002E7EBE">
              <w:rPr>
                <w:rFonts w:asciiTheme="minorHAnsi" w:hAnsiTheme="minorHAnsi"/>
                <w:sz w:val="24"/>
              </w:rPr>
              <w:t>ing</w:t>
            </w:r>
            <w:r>
              <w:rPr>
                <w:rFonts w:asciiTheme="minorHAnsi" w:hAnsiTheme="minorHAnsi"/>
                <w:sz w:val="24"/>
              </w:rPr>
              <w:t xml:space="preserve"> any amendments after the first examination report issues</w:t>
            </w:r>
            <w:r w:rsidR="002E7EBE">
              <w:rPr>
                <w:rFonts w:asciiTheme="minorHAnsi" w:hAnsiTheme="minorHAnsi"/>
                <w:sz w:val="24"/>
              </w:rPr>
              <w:t xml:space="preserve"> may be the best approach</w:t>
            </w:r>
            <w:r>
              <w:rPr>
                <w:rFonts w:asciiTheme="minorHAnsi" w:hAnsiTheme="minorHAnsi"/>
                <w:sz w:val="24"/>
              </w:rPr>
              <w:t>.</w:t>
            </w:r>
          </w:p>
        </w:tc>
      </w:tr>
      <w:tr w:rsidR="00C90FE3" w:rsidTr="00327718">
        <w:tc>
          <w:tcPr>
            <w:tcW w:w="2850" w:type="dxa"/>
            <w:tcBorders>
              <w:top w:val="single" w:sz="12" w:space="0" w:color="auto"/>
            </w:tcBorders>
          </w:tcPr>
          <w:p w:rsidR="00C90FE3" w:rsidRPr="00704771" w:rsidRDefault="009A740E" w:rsidP="00DE767A">
            <w:pPr>
              <w:pStyle w:val="ListParagraph"/>
              <w:numPr>
                <w:ilvl w:val="0"/>
                <w:numId w:val="1"/>
              </w:numPr>
              <w:rPr>
                <w:b/>
                <w:sz w:val="24"/>
                <w:szCs w:val="24"/>
              </w:rPr>
            </w:pPr>
            <w:r w:rsidRPr="009A740E">
              <w:rPr>
                <w:b/>
                <w:sz w:val="24"/>
                <w:szCs w:val="24"/>
              </w:rPr>
              <w:t>Examination of post-acceptance and pre-grant amendments under 1953 Act</w:t>
            </w:r>
          </w:p>
        </w:tc>
        <w:tc>
          <w:tcPr>
            <w:tcW w:w="6392" w:type="dxa"/>
            <w:tcBorders>
              <w:top w:val="single" w:sz="12" w:space="0" w:color="auto"/>
            </w:tcBorders>
          </w:tcPr>
          <w:p w:rsidR="0075731D" w:rsidRPr="00014780" w:rsidRDefault="002E7EBE" w:rsidP="00DE767A">
            <w:pPr>
              <w:pStyle w:val="LetterNormal"/>
              <w:rPr>
                <w:rFonts w:asciiTheme="minorHAnsi" w:hAnsiTheme="minorHAnsi"/>
                <w:sz w:val="24"/>
              </w:rPr>
            </w:pPr>
            <w:r>
              <w:rPr>
                <w:rFonts w:asciiTheme="minorHAnsi" w:hAnsiTheme="minorHAnsi"/>
                <w:sz w:val="24"/>
              </w:rPr>
              <w:t xml:space="preserve">IPONZ confirmed that amendments after acceptance, but before grant, of applications proceeding under PA1953 should be dealt with under </w:t>
            </w:r>
            <w:r>
              <w:rPr>
                <w:rFonts w:asciiTheme="minorHAnsi" w:hAnsiTheme="minorHAnsi"/>
                <w:sz w:val="24"/>
              </w:rPr>
              <w:t>PA1953 – e.g. fair basis instead of support.</w:t>
            </w:r>
          </w:p>
        </w:tc>
      </w:tr>
      <w:tr w:rsidR="00C90FE3" w:rsidTr="002C4BFF">
        <w:trPr>
          <w:cantSplit/>
        </w:trPr>
        <w:tc>
          <w:tcPr>
            <w:tcW w:w="2850" w:type="dxa"/>
          </w:tcPr>
          <w:p w:rsidR="00C90FE3" w:rsidRPr="00704771" w:rsidRDefault="009A740E" w:rsidP="00DE767A">
            <w:pPr>
              <w:pStyle w:val="ListParagraph"/>
              <w:numPr>
                <w:ilvl w:val="0"/>
                <w:numId w:val="1"/>
              </w:numPr>
              <w:rPr>
                <w:b/>
                <w:sz w:val="24"/>
                <w:szCs w:val="24"/>
              </w:rPr>
            </w:pPr>
            <w:r w:rsidRPr="009A740E">
              <w:rPr>
                <w:b/>
                <w:sz w:val="24"/>
                <w:szCs w:val="24"/>
              </w:rPr>
              <w:lastRenderedPageBreak/>
              <w:t>Nature of post-acceptance amendments under 2013 Act</w:t>
            </w:r>
          </w:p>
        </w:tc>
        <w:tc>
          <w:tcPr>
            <w:tcW w:w="6392" w:type="dxa"/>
          </w:tcPr>
          <w:p w:rsidR="00165A42" w:rsidRDefault="002E7EBE" w:rsidP="00DE767A">
            <w:pPr>
              <w:pStyle w:val="LetterNormal"/>
              <w:rPr>
                <w:rFonts w:asciiTheme="minorHAnsi" w:hAnsiTheme="minorHAnsi"/>
                <w:sz w:val="24"/>
              </w:rPr>
            </w:pPr>
            <w:r w:rsidRPr="002E7EBE">
              <w:rPr>
                <w:rFonts w:asciiTheme="minorHAnsi" w:hAnsiTheme="minorHAnsi"/>
                <w:sz w:val="24"/>
              </w:rPr>
              <w:t>PA1953 require</w:t>
            </w:r>
            <w:r w:rsidR="002C4BFF">
              <w:rPr>
                <w:rFonts w:asciiTheme="minorHAnsi" w:hAnsiTheme="minorHAnsi"/>
                <w:sz w:val="24"/>
              </w:rPr>
              <w:t>s</w:t>
            </w:r>
            <w:r w:rsidRPr="002E7EBE">
              <w:rPr>
                <w:rFonts w:asciiTheme="minorHAnsi" w:hAnsiTheme="minorHAnsi"/>
                <w:sz w:val="24"/>
              </w:rPr>
              <w:t xml:space="preserve"> that any amendment after </w:t>
            </w:r>
            <w:r w:rsidR="00D81943" w:rsidRPr="002E7EBE">
              <w:rPr>
                <w:rFonts w:asciiTheme="minorHAnsi" w:hAnsiTheme="minorHAnsi"/>
                <w:sz w:val="24"/>
              </w:rPr>
              <w:t>acceptance</w:t>
            </w:r>
            <w:r w:rsidRPr="002E7EBE">
              <w:rPr>
                <w:rFonts w:asciiTheme="minorHAnsi" w:hAnsiTheme="minorHAnsi"/>
                <w:sz w:val="24"/>
              </w:rPr>
              <w:t xml:space="preserve"> be by way of disclaimer, explanation or correction.</w:t>
            </w:r>
          </w:p>
          <w:p w:rsidR="00D81943" w:rsidRDefault="00D81943" w:rsidP="00DE767A">
            <w:pPr>
              <w:pStyle w:val="LetterNormal"/>
              <w:rPr>
                <w:rFonts w:asciiTheme="minorHAnsi" w:hAnsiTheme="minorHAnsi"/>
                <w:sz w:val="24"/>
              </w:rPr>
            </w:pPr>
            <w:r w:rsidRPr="00D81943">
              <w:rPr>
                <w:rFonts w:asciiTheme="minorHAnsi" w:hAnsiTheme="minorHAnsi"/>
                <w:sz w:val="24"/>
              </w:rPr>
              <w:t xml:space="preserve">PA2013 </w:t>
            </w:r>
            <w:r>
              <w:rPr>
                <w:rFonts w:asciiTheme="minorHAnsi" w:hAnsiTheme="minorHAnsi"/>
                <w:sz w:val="24"/>
              </w:rPr>
              <w:t xml:space="preserve">requires the applicant for amendment state the ‘nature’ of the amendments. Some examiners have required that each amendment be categorised as a </w:t>
            </w:r>
            <w:r w:rsidRPr="002E7EBE">
              <w:rPr>
                <w:rFonts w:asciiTheme="minorHAnsi" w:hAnsiTheme="minorHAnsi"/>
                <w:sz w:val="24"/>
              </w:rPr>
              <w:t>disclaimer, explanation or correction</w:t>
            </w:r>
            <w:r>
              <w:rPr>
                <w:rFonts w:asciiTheme="minorHAnsi" w:hAnsiTheme="minorHAnsi"/>
                <w:sz w:val="24"/>
              </w:rPr>
              <w:t>.</w:t>
            </w:r>
          </w:p>
          <w:p w:rsidR="00D81943" w:rsidRDefault="00D81943" w:rsidP="00DE767A">
            <w:pPr>
              <w:pStyle w:val="LetterNormal"/>
              <w:rPr>
                <w:rFonts w:asciiTheme="minorHAnsi" w:hAnsiTheme="minorHAnsi"/>
                <w:sz w:val="24"/>
              </w:rPr>
            </w:pPr>
            <w:r>
              <w:rPr>
                <w:rFonts w:asciiTheme="minorHAnsi" w:hAnsiTheme="minorHAnsi"/>
                <w:sz w:val="24"/>
              </w:rPr>
              <w:t xml:space="preserve">See s85(3): </w:t>
            </w:r>
            <w:r w:rsidRPr="00D81943">
              <w:rPr>
                <w:rFonts w:asciiTheme="minorHAnsi" w:hAnsiTheme="minorHAnsi"/>
                <w:sz w:val="24"/>
              </w:rPr>
              <w:t>Every request for leave to amend a specification under this</w:t>
            </w:r>
            <w:r>
              <w:rPr>
                <w:rFonts w:asciiTheme="minorHAnsi" w:hAnsiTheme="minorHAnsi"/>
                <w:sz w:val="24"/>
              </w:rPr>
              <w:t xml:space="preserve"> </w:t>
            </w:r>
            <w:r w:rsidRPr="00D81943">
              <w:rPr>
                <w:rFonts w:asciiTheme="minorHAnsi" w:hAnsiTheme="minorHAnsi"/>
                <w:sz w:val="24"/>
              </w:rPr>
              <w:t>section must—</w:t>
            </w:r>
            <w:r>
              <w:rPr>
                <w:rFonts w:asciiTheme="minorHAnsi" w:hAnsiTheme="minorHAnsi"/>
                <w:sz w:val="24"/>
              </w:rPr>
              <w:br/>
            </w:r>
            <w:r w:rsidRPr="00D81943">
              <w:rPr>
                <w:rFonts w:asciiTheme="minorHAnsi" w:hAnsiTheme="minorHAnsi"/>
                <w:sz w:val="24"/>
              </w:rPr>
              <w:t>(a) state the nature of the proposed amendment; and</w:t>
            </w:r>
            <w:r>
              <w:rPr>
                <w:rFonts w:asciiTheme="minorHAnsi" w:hAnsiTheme="minorHAnsi"/>
                <w:sz w:val="24"/>
              </w:rPr>
              <w:br/>
            </w:r>
            <w:r w:rsidRPr="00D81943">
              <w:rPr>
                <w:rFonts w:asciiTheme="minorHAnsi" w:hAnsiTheme="minorHAnsi"/>
                <w:sz w:val="24"/>
              </w:rPr>
              <w:t>(b) give full particulars of the reasons for the request; and</w:t>
            </w:r>
            <w:r>
              <w:rPr>
                <w:rFonts w:asciiTheme="minorHAnsi" w:hAnsiTheme="minorHAnsi"/>
                <w:sz w:val="24"/>
              </w:rPr>
              <w:br/>
            </w:r>
            <w:r w:rsidRPr="00D81943">
              <w:rPr>
                <w:rFonts w:asciiTheme="minorHAnsi" w:hAnsiTheme="minorHAnsi"/>
                <w:sz w:val="24"/>
              </w:rPr>
              <w:t>(c) be made in the prescribed manner (if any)</w:t>
            </w:r>
            <w:r>
              <w:rPr>
                <w:rFonts w:asciiTheme="minorHAnsi" w:hAnsiTheme="minorHAnsi"/>
                <w:sz w:val="24"/>
              </w:rPr>
              <w:t xml:space="preserve"> – </w:t>
            </w:r>
            <w:r w:rsidR="002C4BFF">
              <w:rPr>
                <w:rFonts w:asciiTheme="minorHAnsi" w:hAnsiTheme="minorHAnsi"/>
                <w:sz w:val="24"/>
              </w:rPr>
              <w:t>i.e. a</w:t>
            </w:r>
            <w:r>
              <w:rPr>
                <w:rFonts w:asciiTheme="minorHAnsi" w:hAnsiTheme="minorHAnsi"/>
                <w:sz w:val="24"/>
              </w:rPr>
              <w:t>mended specification, marked up specification, statement of support and declaration (see r87)</w:t>
            </w:r>
            <w:r w:rsidRPr="00D81943">
              <w:rPr>
                <w:rFonts w:asciiTheme="minorHAnsi" w:hAnsiTheme="minorHAnsi"/>
                <w:sz w:val="24"/>
              </w:rPr>
              <w:t>.</w:t>
            </w:r>
          </w:p>
          <w:p w:rsidR="00D81943" w:rsidRPr="00D81943" w:rsidRDefault="00D81943" w:rsidP="00DE767A">
            <w:pPr>
              <w:pStyle w:val="LetterNormal"/>
              <w:rPr>
                <w:rFonts w:asciiTheme="minorHAnsi" w:hAnsiTheme="minorHAnsi"/>
                <w:sz w:val="24"/>
              </w:rPr>
            </w:pPr>
            <w:r>
              <w:rPr>
                <w:rFonts w:asciiTheme="minorHAnsi" w:hAnsiTheme="minorHAnsi"/>
                <w:sz w:val="24"/>
              </w:rPr>
              <w:t>IPONZ considers that the nature of the amendment is different from the reason for the request – i.e. the nature is the ‘essential property’ of the amendment. D</w:t>
            </w:r>
            <w:r w:rsidRPr="002E7EBE">
              <w:rPr>
                <w:rFonts w:asciiTheme="minorHAnsi" w:hAnsiTheme="minorHAnsi"/>
                <w:sz w:val="24"/>
              </w:rPr>
              <w:t xml:space="preserve">isclaimer, explanation </w:t>
            </w:r>
            <w:r>
              <w:rPr>
                <w:rFonts w:asciiTheme="minorHAnsi" w:hAnsiTheme="minorHAnsi"/>
                <w:sz w:val="24"/>
              </w:rPr>
              <w:t>and</w:t>
            </w:r>
            <w:r w:rsidRPr="002E7EBE">
              <w:rPr>
                <w:rFonts w:asciiTheme="minorHAnsi" w:hAnsiTheme="minorHAnsi"/>
                <w:sz w:val="24"/>
              </w:rPr>
              <w:t xml:space="preserve"> correction</w:t>
            </w:r>
            <w:r>
              <w:rPr>
                <w:rFonts w:asciiTheme="minorHAnsi" w:hAnsiTheme="minorHAnsi"/>
                <w:sz w:val="24"/>
              </w:rPr>
              <w:t xml:space="preserve"> are examples, but </w:t>
            </w:r>
            <w:r w:rsidR="00F23214">
              <w:rPr>
                <w:rFonts w:asciiTheme="minorHAnsi" w:hAnsiTheme="minorHAnsi"/>
                <w:sz w:val="24"/>
              </w:rPr>
              <w:t xml:space="preserve">amendments allowable under </w:t>
            </w:r>
            <w:r>
              <w:rPr>
                <w:rFonts w:asciiTheme="minorHAnsi" w:hAnsiTheme="minorHAnsi"/>
                <w:sz w:val="24"/>
              </w:rPr>
              <w:t xml:space="preserve">PA2013 </w:t>
            </w:r>
            <w:r w:rsidR="00F23214">
              <w:rPr>
                <w:rFonts w:asciiTheme="minorHAnsi" w:hAnsiTheme="minorHAnsi"/>
                <w:sz w:val="24"/>
              </w:rPr>
              <w:t>are</w:t>
            </w:r>
            <w:r>
              <w:rPr>
                <w:rFonts w:asciiTheme="minorHAnsi" w:hAnsiTheme="minorHAnsi"/>
                <w:sz w:val="24"/>
              </w:rPr>
              <w:t xml:space="preserve"> not limited to </w:t>
            </w:r>
            <w:r w:rsidR="00F23214">
              <w:rPr>
                <w:rFonts w:asciiTheme="minorHAnsi" w:hAnsiTheme="minorHAnsi"/>
                <w:sz w:val="24"/>
              </w:rPr>
              <w:t>only these</w:t>
            </w:r>
            <w:r>
              <w:rPr>
                <w:rFonts w:asciiTheme="minorHAnsi" w:hAnsiTheme="minorHAnsi"/>
                <w:sz w:val="24"/>
              </w:rPr>
              <w:t>.</w:t>
            </w:r>
          </w:p>
        </w:tc>
      </w:tr>
      <w:tr w:rsidR="00327718" w:rsidTr="00327718">
        <w:tc>
          <w:tcPr>
            <w:tcW w:w="2850" w:type="dxa"/>
          </w:tcPr>
          <w:p w:rsidR="00327718" w:rsidRPr="00941E72" w:rsidRDefault="009A740E" w:rsidP="00DE767A">
            <w:pPr>
              <w:pStyle w:val="ListParagraph"/>
              <w:numPr>
                <w:ilvl w:val="0"/>
                <w:numId w:val="1"/>
              </w:numPr>
              <w:rPr>
                <w:b/>
                <w:sz w:val="24"/>
                <w:szCs w:val="24"/>
              </w:rPr>
            </w:pPr>
            <w:r w:rsidRPr="009A740E">
              <w:rPr>
                <w:b/>
                <w:sz w:val="24"/>
                <w:szCs w:val="24"/>
              </w:rPr>
              <w:t>Examination of inventive step in NZ compared to other countries</w:t>
            </w:r>
          </w:p>
        </w:tc>
        <w:tc>
          <w:tcPr>
            <w:tcW w:w="6392" w:type="dxa"/>
          </w:tcPr>
          <w:p w:rsidR="00AE60F5" w:rsidRDefault="00F23214" w:rsidP="00DE767A">
            <w:pPr>
              <w:pStyle w:val="LetterNormal"/>
              <w:rPr>
                <w:rFonts w:asciiTheme="minorHAnsi" w:hAnsiTheme="minorHAnsi"/>
                <w:bCs/>
                <w:sz w:val="24"/>
              </w:rPr>
            </w:pPr>
            <w:r>
              <w:rPr>
                <w:rFonts w:asciiTheme="minorHAnsi" w:hAnsiTheme="minorHAnsi"/>
                <w:bCs/>
                <w:sz w:val="24"/>
              </w:rPr>
              <w:t>See also item 5 above.</w:t>
            </w:r>
          </w:p>
          <w:p w:rsidR="00F23214" w:rsidRPr="00014780" w:rsidRDefault="00F23214" w:rsidP="00DE767A">
            <w:pPr>
              <w:pStyle w:val="LetterNormal"/>
              <w:rPr>
                <w:rFonts w:asciiTheme="minorHAnsi" w:hAnsiTheme="minorHAnsi"/>
                <w:bCs/>
                <w:sz w:val="24"/>
              </w:rPr>
            </w:pPr>
            <w:r>
              <w:rPr>
                <w:rFonts w:asciiTheme="minorHAnsi" w:hAnsiTheme="minorHAnsi"/>
                <w:bCs/>
                <w:sz w:val="24"/>
              </w:rPr>
              <w:t>IPONZ considers that examiners should utilise the work product from other offices, where possible.</w:t>
            </w:r>
          </w:p>
        </w:tc>
      </w:tr>
      <w:tr w:rsidR="00327718" w:rsidTr="00327718">
        <w:tc>
          <w:tcPr>
            <w:tcW w:w="2850" w:type="dxa"/>
          </w:tcPr>
          <w:p w:rsidR="00327718" w:rsidRPr="00941E72" w:rsidRDefault="000103C1" w:rsidP="00DE767A">
            <w:pPr>
              <w:pStyle w:val="ListParagraph"/>
              <w:numPr>
                <w:ilvl w:val="0"/>
                <w:numId w:val="1"/>
              </w:numPr>
              <w:rPr>
                <w:b/>
                <w:sz w:val="24"/>
                <w:szCs w:val="24"/>
              </w:rPr>
            </w:pPr>
            <w:r w:rsidRPr="000103C1">
              <w:rPr>
                <w:b/>
                <w:sz w:val="24"/>
                <w:szCs w:val="24"/>
              </w:rPr>
              <w:t xml:space="preserve">Regulation 70 - </w:t>
            </w:r>
            <w:r>
              <w:rPr>
                <w:b/>
                <w:sz w:val="24"/>
                <w:szCs w:val="24"/>
              </w:rPr>
              <w:t>R</w:t>
            </w:r>
            <w:r w:rsidRPr="000103C1">
              <w:rPr>
                <w:b/>
                <w:sz w:val="24"/>
                <w:szCs w:val="24"/>
              </w:rPr>
              <w:t>equests for evidence in support of convention application</w:t>
            </w:r>
          </w:p>
        </w:tc>
        <w:tc>
          <w:tcPr>
            <w:tcW w:w="6392" w:type="dxa"/>
          </w:tcPr>
          <w:p w:rsidR="00165A42" w:rsidRPr="00014780" w:rsidRDefault="00F23214" w:rsidP="00DE767A">
            <w:pPr>
              <w:pStyle w:val="LetterNormal"/>
              <w:rPr>
                <w:rFonts w:asciiTheme="minorHAnsi" w:hAnsiTheme="minorHAnsi"/>
                <w:bCs/>
                <w:sz w:val="24"/>
              </w:rPr>
            </w:pPr>
            <w:r>
              <w:rPr>
                <w:rFonts w:asciiTheme="minorHAnsi" w:hAnsiTheme="minorHAnsi"/>
                <w:bCs/>
                <w:sz w:val="24"/>
              </w:rPr>
              <w:t>IPONZ should</w:t>
            </w:r>
            <w:r w:rsidR="002C4BFF">
              <w:rPr>
                <w:rFonts w:asciiTheme="minorHAnsi" w:hAnsiTheme="minorHAnsi"/>
                <w:bCs/>
                <w:sz w:val="24"/>
              </w:rPr>
              <w:t xml:space="preserve"> only</w:t>
            </w:r>
            <w:r>
              <w:rPr>
                <w:rFonts w:asciiTheme="minorHAnsi" w:hAnsiTheme="minorHAnsi"/>
                <w:bCs/>
                <w:sz w:val="24"/>
              </w:rPr>
              <w:t xml:space="preserve"> be requesting priority documents whe</w:t>
            </w:r>
            <w:r w:rsidR="002C4BFF">
              <w:rPr>
                <w:rFonts w:asciiTheme="minorHAnsi" w:hAnsiTheme="minorHAnsi"/>
                <w:bCs/>
                <w:sz w:val="24"/>
              </w:rPr>
              <w:t>n</w:t>
            </w:r>
            <w:r>
              <w:rPr>
                <w:rFonts w:asciiTheme="minorHAnsi" w:hAnsiTheme="minorHAnsi"/>
                <w:bCs/>
                <w:sz w:val="24"/>
              </w:rPr>
              <w:t xml:space="preserve"> there is a need to verify the priority date of a claim, e.g. to determine whether particular prior art can be cited.</w:t>
            </w:r>
          </w:p>
        </w:tc>
      </w:tr>
      <w:tr w:rsidR="00327718" w:rsidTr="00327718">
        <w:tc>
          <w:tcPr>
            <w:tcW w:w="2850" w:type="dxa"/>
          </w:tcPr>
          <w:p w:rsidR="00327718" w:rsidRPr="00941E72" w:rsidRDefault="000103C1" w:rsidP="00DE767A">
            <w:pPr>
              <w:pStyle w:val="ListParagraph"/>
              <w:numPr>
                <w:ilvl w:val="0"/>
                <w:numId w:val="1"/>
              </w:numPr>
              <w:rPr>
                <w:b/>
                <w:sz w:val="24"/>
                <w:szCs w:val="24"/>
              </w:rPr>
            </w:pPr>
            <w:r w:rsidRPr="000103C1">
              <w:rPr>
                <w:b/>
                <w:sz w:val="24"/>
                <w:szCs w:val="24"/>
              </w:rPr>
              <w:t>Page numbering in specifications – update to approach</w:t>
            </w:r>
          </w:p>
        </w:tc>
        <w:tc>
          <w:tcPr>
            <w:tcW w:w="6392" w:type="dxa"/>
          </w:tcPr>
          <w:p w:rsidR="00165A42" w:rsidRPr="00014780" w:rsidRDefault="00F23214" w:rsidP="00DE767A">
            <w:pPr>
              <w:pStyle w:val="LetterNormal"/>
              <w:rPr>
                <w:rFonts w:asciiTheme="minorHAnsi" w:hAnsiTheme="minorHAnsi"/>
                <w:bCs/>
                <w:sz w:val="24"/>
              </w:rPr>
            </w:pPr>
            <w:r>
              <w:rPr>
                <w:rFonts w:asciiTheme="minorHAnsi" w:hAnsiTheme="minorHAnsi"/>
                <w:bCs/>
                <w:sz w:val="24"/>
              </w:rPr>
              <w:t>IPONZ is still considering whether alphanumeric numbering, e.g. 1, 2, 2a, 2b, 3 etc is permissible.</w:t>
            </w:r>
          </w:p>
        </w:tc>
      </w:tr>
      <w:tr w:rsidR="00327718" w:rsidTr="00327718">
        <w:tc>
          <w:tcPr>
            <w:tcW w:w="2850" w:type="dxa"/>
          </w:tcPr>
          <w:p w:rsidR="00327718" w:rsidRPr="000103C1" w:rsidRDefault="000103C1" w:rsidP="00DE767A">
            <w:pPr>
              <w:pStyle w:val="ListParagraph"/>
              <w:numPr>
                <w:ilvl w:val="0"/>
                <w:numId w:val="1"/>
              </w:numPr>
              <w:rPr>
                <w:b/>
                <w:sz w:val="24"/>
                <w:szCs w:val="24"/>
              </w:rPr>
            </w:pPr>
            <w:r w:rsidRPr="000103C1">
              <w:rPr>
                <w:b/>
                <w:sz w:val="24"/>
                <w:szCs w:val="24"/>
              </w:rPr>
              <w:t>Review of draft examination guidelines</w:t>
            </w:r>
          </w:p>
        </w:tc>
        <w:tc>
          <w:tcPr>
            <w:tcW w:w="6392" w:type="dxa"/>
          </w:tcPr>
          <w:p w:rsidR="000103C1" w:rsidRDefault="000103C1" w:rsidP="00DE767A">
            <w:pPr>
              <w:pStyle w:val="LetterNormal"/>
              <w:rPr>
                <w:rFonts w:asciiTheme="minorHAnsi" w:hAnsiTheme="minorHAnsi"/>
                <w:bCs/>
                <w:sz w:val="24"/>
              </w:rPr>
            </w:pPr>
            <w:r>
              <w:rPr>
                <w:rFonts w:asciiTheme="minorHAnsi" w:hAnsiTheme="minorHAnsi"/>
                <w:bCs/>
                <w:sz w:val="24"/>
              </w:rPr>
              <w:t>Draft guidelines had been circulated regarding:</w:t>
            </w:r>
          </w:p>
          <w:p w:rsidR="000103C1" w:rsidRPr="00C9431B" w:rsidRDefault="000103C1" w:rsidP="002C4BFF">
            <w:pPr>
              <w:pStyle w:val="LetterNormal"/>
              <w:numPr>
                <w:ilvl w:val="0"/>
                <w:numId w:val="8"/>
              </w:numPr>
              <w:spacing w:after="0"/>
              <w:ind w:left="714" w:hanging="357"/>
              <w:rPr>
                <w:rFonts w:asciiTheme="minorHAnsi" w:hAnsiTheme="minorHAnsi"/>
                <w:bCs/>
                <w:sz w:val="24"/>
              </w:rPr>
            </w:pPr>
            <w:r w:rsidRPr="00C9431B">
              <w:rPr>
                <w:rFonts w:asciiTheme="minorHAnsi" w:hAnsiTheme="minorHAnsi"/>
                <w:bCs/>
                <w:sz w:val="24"/>
              </w:rPr>
              <w:t>Amendment of complete specifications before accept</w:t>
            </w:r>
            <w:r>
              <w:rPr>
                <w:rFonts w:asciiTheme="minorHAnsi" w:hAnsiTheme="minorHAnsi"/>
                <w:bCs/>
                <w:sz w:val="24"/>
              </w:rPr>
              <w:t>ance - section 40</w:t>
            </w:r>
          </w:p>
          <w:p w:rsidR="000103C1" w:rsidRPr="000103C1" w:rsidRDefault="000103C1" w:rsidP="00DE767A">
            <w:pPr>
              <w:pStyle w:val="LetterNormal"/>
              <w:numPr>
                <w:ilvl w:val="0"/>
                <w:numId w:val="8"/>
              </w:numPr>
              <w:rPr>
                <w:rFonts w:asciiTheme="minorHAnsi" w:hAnsiTheme="minorHAnsi"/>
                <w:bCs/>
                <w:sz w:val="24"/>
              </w:rPr>
            </w:pPr>
            <w:r>
              <w:rPr>
                <w:rFonts w:ascii="Calibri" w:hAnsi="Calibri" w:cs="Calibri"/>
                <w:sz w:val="24"/>
              </w:rPr>
              <w:t>Verified Translations of documents</w:t>
            </w:r>
          </w:p>
          <w:p w:rsidR="00165A42" w:rsidRPr="00014780" w:rsidRDefault="000103C1" w:rsidP="00DE767A">
            <w:pPr>
              <w:pStyle w:val="LetterNormal"/>
              <w:rPr>
                <w:rFonts w:asciiTheme="minorHAnsi" w:hAnsiTheme="minorHAnsi"/>
                <w:bCs/>
                <w:sz w:val="24"/>
              </w:rPr>
            </w:pPr>
            <w:r>
              <w:rPr>
                <w:rFonts w:asciiTheme="minorHAnsi" w:hAnsiTheme="minorHAnsi"/>
                <w:bCs/>
                <w:sz w:val="24"/>
              </w:rPr>
              <w:t xml:space="preserve">IPONZ invited </w:t>
            </w:r>
            <w:r w:rsidR="0067556B">
              <w:rPr>
                <w:rFonts w:asciiTheme="minorHAnsi" w:hAnsiTheme="minorHAnsi"/>
                <w:bCs/>
                <w:sz w:val="24"/>
              </w:rPr>
              <w:t xml:space="preserve">any further </w:t>
            </w:r>
            <w:r>
              <w:rPr>
                <w:rFonts w:asciiTheme="minorHAnsi" w:hAnsiTheme="minorHAnsi"/>
                <w:bCs/>
                <w:sz w:val="24"/>
              </w:rPr>
              <w:t>comments and suggestions in response, preferably within a couple of weeks.</w:t>
            </w:r>
          </w:p>
        </w:tc>
      </w:tr>
      <w:tr w:rsidR="00327718" w:rsidTr="002C4BFF">
        <w:trPr>
          <w:cantSplit/>
        </w:trPr>
        <w:tc>
          <w:tcPr>
            <w:tcW w:w="2850" w:type="dxa"/>
          </w:tcPr>
          <w:p w:rsidR="00327718" w:rsidRPr="00C9431B" w:rsidRDefault="000103C1" w:rsidP="00DE767A">
            <w:pPr>
              <w:pStyle w:val="ListParagraph"/>
              <w:numPr>
                <w:ilvl w:val="0"/>
                <w:numId w:val="1"/>
              </w:numPr>
              <w:rPr>
                <w:b/>
                <w:sz w:val="24"/>
                <w:szCs w:val="24"/>
              </w:rPr>
            </w:pPr>
            <w:r w:rsidRPr="000103C1">
              <w:rPr>
                <w:b/>
                <w:sz w:val="24"/>
                <w:szCs w:val="24"/>
              </w:rPr>
              <w:lastRenderedPageBreak/>
              <w:t>Patents updated letter template project</w:t>
            </w:r>
          </w:p>
        </w:tc>
        <w:tc>
          <w:tcPr>
            <w:tcW w:w="6392" w:type="dxa"/>
          </w:tcPr>
          <w:p w:rsidR="00165A42" w:rsidRPr="00327718" w:rsidRDefault="000103C1" w:rsidP="00DE767A">
            <w:pPr>
              <w:pStyle w:val="LetterNormal"/>
              <w:rPr>
                <w:rFonts w:asciiTheme="minorHAnsi" w:hAnsiTheme="minorHAnsi"/>
                <w:bCs/>
                <w:sz w:val="24"/>
              </w:rPr>
            </w:pPr>
            <w:r>
              <w:rPr>
                <w:rFonts w:asciiTheme="minorHAnsi" w:hAnsiTheme="minorHAnsi"/>
                <w:bCs/>
                <w:sz w:val="24"/>
              </w:rPr>
              <w:t xml:space="preserve">IPONZ plans to invite </w:t>
            </w:r>
            <w:r w:rsidRPr="000103C1">
              <w:rPr>
                <w:rFonts w:asciiTheme="minorHAnsi" w:hAnsiTheme="minorHAnsi"/>
                <w:bCs/>
                <w:sz w:val="24"/>
              </w:rPr>
              <w:t>TFG members to a review session</w:t>
            </w:r>
            <w:r>
              <w:rPr>
                <w:rFonts w:asciiTheme="minorHAnsi" w:hAnsiTheme="minorHAnsi"/>
                <w:bCs/>
                <w:sz w:val="24"/>
              </w:rPr>
              <w:t xml:space="preserve"> </w:t>
            </w:r>
            <w:r w:rsidRPr="000103C1">
              <w:rPr>
                <w:rFonts w:asciiTheme="minorHAnsi" w:hAnsiTheme="minorHAnsi"/>
                <w:bCs/>
                <w:sz w:val="24"/>
              </w:rPr>
              <w:t>to provide feedback on the new template being developed</w:t>
            </w:r>
            <w:r>
              <w:rPr>
                <w:rFonts w:asciiTheme="minorHAnsi" w:hAnsiTheme="minorHAnsi"/>
                <w:bCs/>
                <w:sz w:val="24"/>
              </w:rPr>
              <w:t>.</w:t>
            </w:r>
          </w:p>
        </w:tc>
      </w:tr>
      <w:tr w:rsidR="00327718" w:rsidTr="00327718">
        <w:tc>
          <w:tcPr>
            <w:tcW w:w="2850" w:type="dxa"/>
          </w:tcPr>
          <w:p w:rsidR="00327718" w:rsidRPr="00327718" w:rsidRDefault="00C9431B" w:rsidP="00DE767A">
            <w:pPr>
              <w:pStyle w:val="ListParagraph"/>
              <w:numPr>
                <w:ilvl w:val="0"/>
                <w:numId w:val="1"/>
              </w:numPr>
              <w:rPr>
                <w:b/>
                <w:sz w:val="24"/>
                <w:szCs w:val="24"/>
              </w:rPr>
            </w:pPr>
            <w:r w:rsidRPr="00C9431B">
              <w:rPr>
                <w:b/>
                <w:sz w:val="24"/>
                <w:szCs w:val="24"/>
              </w:rPr>
              <w:t>Any other business</w:t>
            </w:r>
          </w:p>
        </w:tc>
        <w:tc>
          <w:tcPr>
            <w:tcW w:w="6392" w:type="dxa"/>
          </w:tcPr>
          <w:p w:rsidR="00165A42" w:rsidRPr="00327718" w:rsidRDefault="0033167F" w:rsidP="00DE767A">
            <w:pPr>
              <w:pStyle w:val="LetterNormal"/>
              <w:rPr>
                <w:rFonts w:asciiTheme="minorHAnsi" w:hAnsiTheme="minorHAnsi"/>
                <w:bCs/>
                <w:sz w:val="24"/>
              </w:rPr>
            </w:pPr>
            <w:r>
              <w:rPr>
                <w:rFonts w:asciiTheme="minorHAnsi" w:hAnsiTheme="minorHAnsi"/>
                <w:bCs/>
                <w:sz w:val="24"/>
              </w:rPr>
              <w:t>No</w:t>
            </w:r>
          </w:p>
        </w:tc>
      </w:tr>
      <w:tr w:rsidR="00327718" w:rsidTr="00327718">
        <w:tc>
          <w:tcPr>
            <w:tcW w:w="2850" w:type="dxa"/>
          </w:tcPr>
          <w:p w:rsidR="00327718" w:rsidRPr="00941E72" w:rsidRDefault="00D51F4E" w:rsidP="00DE767A">
            <w:pPr>
              <w:pStyle w:val="ListParagraph"/>
              <w:numPr>
                <w:ilvl w:val="0"/>
                <w:numId w:val="1"/>
              </w:numPr>
              <w:rPr>
                <w:b/>
                <w:sz w:val="24"/>
                <w:szCs w:val="24"/>
              </w:rPr>
            </w:pPr>
            <w:r w:rsidRPr="00D51F4E">
              <w:rPr>
                <w:b/>
                <w:sz w:val="24"/>
                <w:szCs w:val="24"/>
              </w:rPr>
              <w:t>Next meeting/upcoming meetings</w:t>
            </w:r>
          </w:p>
        </w:tc>
        <w:tc>
          <w:tcPr>
            <w:tcW w:w="6392" w:type="dxa"/>
          </w:tcPr>
          <w:p w:rsidR="00165A42" w:rsidRPr="00014780" w:rsidRDefault="0033167F" w:rsidP="00DE767A">
            <w:pPr>
              <w:pStyle w:val="LetterNormal"/>
              <w:rPr>
                <w:rFonts w:asciiTheme="minorHAnsi" w:hAnsiTheme="minorHAnsi"/>
                <w:bCs/>
                <w:sz w:val="24"/>
              </w:rPr>
            </w:pPr>
            <w:r>
              <w:rPr>
                <w:rFonts w:asciiTheme="minorHAnsi" w:hAnsiTheme="minorHAnsi"/>
                <w:bCs/>
                <w:sz w:val="24"/>
              </w:rPr>
              <w:t xml:space="preserve">Proposed that the </w:t>
            </w:r>
            <w:r w:rsidR="00AA078E">
              <w:rPr>
                <w:rFonts w:asciiTheme="minorHAnsi" w:hAnsiTheme="minorHAnsi"/>
                <w:bCs/>
                <w:sz w:val="24"/>
              </w:rPr>
              <w:t>P</w:t>
            </w:r>
            <w:r>
              <w:rPr>
                <w:rFonts w:asciiTheme="minorHAnsi" w:hAnsiTheme="minorHAnsi"/>
                <w:bCs/>
                <w:sz w:val="24"/>
              </w:rPr>
              <w:t xml:space="preserve">atents TFG meet </w:t>
            </w:r>
            <w:r w:rsidR="000103C1">
              <w:rPr>
                <w:rFonts w:asciiTheme="minorHAnsi" w:hAnsiTheme="minorHAnsi"/>
                <w:bCs/>
                <w:sz w:val="24"/>
              </w:rPr>
              <w:t>again in September 2019</w:t>
            </w:r>
            <w:r>
              <w:rPr>
                <w:rFonts w:asciiTheme="minorHAnsi" w:hAnsiTheme="minorHAnsi"/>
                <w:bCs/>
                <w:sz w:val="24"/>
              </w:rPr>
              <w:t>.</w:t>
            </w:r>
          </w:p>
        </w:tc>
      </w:tr>
    </w:tbl>
    <w:p w:rsidR="00C90FE3" w:rsidRDefault="00C90FE3" w:rsidP="00C90FE3">
      <w:pPr>
        <w:jc w:val="center"/>
        <w:rPr>
          <w:b/>
          <w:sz w:val="24"/>
          <w:szCs w:val="24"/>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02"/>
        <w:gridCol w:w="6440"/>
      </w:tblGrid>
      <w:tr w:rsidR="00C90FE3" w:rsidTr="008726E6">
        <w:trPr>
          <w:cantSplit/>
          <w:tblHeader/>
        </w:trPr>
        <w:tc>
          <w:tcPr>
            <w:tcW w:w="2802" w:type="dxa"/>
            <w:tcBorders>
              <w:top w:val="single" w:sz="18" w:space="0" w:color="auto"/>
              <w:bottom w:val="single" w:sz="12" w:space="0" w:color="auto"/>
            </w:tcBorders>
          </w:tcPr>
          <w:p w:rsidR="00C90FE3" w:rsidRDefault="00C90FE3" w:rsidP="00E66A00">
            <w:pPr>
              <w:rPr>
                <w:b/>
                <w:sz w:val="24"/>
                <w:szCs w:val="24"/>
              </w:rPr>
            </w:pPr>
            <w:r>
              <w:rPr>
                <w:b/>
                <w:sz w:val="24"/>
                <w:szCs w:val="24"/>
              </w:rPr>
              <w:t>Any other points of Discussion</w:t>
            </w:r>
          </w:p>
        </w:tc>
        <w:tc>
          <w:tcPr>
            <w:tcW w:w="6440" w:type="dxa"/>
            <w:tcBorders>
              <w:top w:val="single" w:sz="18" w:space="0" w:color="auto"/>
              <w:bottom w:val="single" w:sz="12" w:space="0" w:color="auto"/>
            </w:tcBorders>
          </w:tcPr>
          <w:p w:rsidR="00C90FE3" w:rsidRDefault="00C90FE3" w:rsidP="00E66A00">
            <w:pPr>
              <w:rPr>
                <w:b/>
                <w:sz w:val="24"/>
                <w:szCs w:val="24"/>
              </w:rPr>
            </w:pPr>
            <w:r>
              <w:rPr>
                <w:b/>
                <w:sz w:val="24"/>
                <w:szCs w:val="24"/>
              </w:rPr>
              <w:t>Comments</w:t>
            </w:r>
          </w:p>
        </w:tc>
      </w:tr>
      <w:tr w:rsidR="00C90FE3" w:rsidTr="00006C89">
        <w:trPr>
          <w:cantSplit/>
        </w:trPr>
        <w:tc>
          <w:tcPr>
            <w:tcW w:w="2802" w:type="dxa"/>
            <w:tcBorders>
              <w:top w:val="single" w:sz="12" w:space="0" w:color="auto"/>
              <w:bottom w:val="single" w:sz="12" w:space="0" w:color="auto"/>
            </w:tcBorders>
          </w:tcPr>
          <w:p w:rsidR="00C90FE3" w:rsidRPr="00070531" w:rsidRDefault="00006C89" w:rsidP="000103C1">
            <w:pPr>
              <w:pStyle w:val="ListParagraph"/>
              <w:numPr>
                <w:ilvl w:val="0"/>
                <w:numId w:val="9"/>
              </w:numPr>
              <w:rPr>
                <w:b/>
                <w:sz w:val="24"/>
                <w:szCs w:val="24"/>
              </w:rPr>
            </w:pPr>
            <w:r>
              <w:rPr>
                <w:b/>
                <w:sz w:val="24"/>
                <w:szCs w:val="24"/>
              </w:rPr>
              <w:t>Abstracts</w:t>
            </w:r>
          </w:p>
        </w:tc>
        <w:tc>
          <w:tcPr>
            <w:tcW w:w="6440" w:type="dxa"/>
            <w:tcBorders>
              <w:top w:val="single" w:sz="12" w:space="0" w:color="auto"/>
              <w:bottom w:val="single" w:sz="12" w:space="0" w:color="auto"/>
            </w:tcBorders>
          </w:tcPr>
          <w:p w:rsidR="00C90FE3" w:rsidRDefault="00006C89" w:rsidP="00E66A00">
            <w:pPr>
              <w:pStyle w:val="LetterNormal"/>
            </w:pPr>
            <w:r>
              <w:t>IPONZ has prepared a draft guideline regarding abstracts. This will be released sometime.</w:t>
            </w:r>
          </w:p>
        </w:tc>
      </w:tr>
      <w:tr w:rsidR="00006C89" w:rsidTr="00CC6146">
        <w:trPr>
          <w:cantSplit/>
        </w:trPr>
        <w:tc>
          <w:tcPr>
            <w:tcW w:w="2802" w:type="dxa"/>
            <w:tcBorders>
              <w:top w:val="single" w:sz="12" w:space="0" w:color="auto"/>
              <w:bottom w:val="single" w:sz="12" w:space="0" w:color="auto"/>
            </w:tcBorders>
          </w:tcPr>
          <w:p w:rsidR="00006C89" w:rsidRDefault="00006C89" w:rsidP="000103C1">
            <w:pPr>
              <w:pStyle w:val="ListParagraph"/>
              <w:numPr>
                <w:ilvl w:val="0"/>
                <w:numId w:val="9"/>
              </w:numPr>
              <w:rPr>
                <w:b/>
                <w:sz w:val="24"/>
                <w:szCs w:val="24"/>
              </w:rPr>
            </w:pPr>
            <w:r>
              <w:rPr>
                <w:b/>
                <w:sz w:val="24"/>
                <w:szCs w:val="24"/>
              </w:rPr>
              <w:t>Object statements</w:t>
            </w:r>
          </w:p>
        </w:tc>
        <w:tc>
          <w:tcPr>
            <w:tcW w:w="6440" w:type="dxa"/>
            <w:tcBorders>
              <w:top w:val="single" w:sz="12" w:space="0" w:color="auto"/>
              <w:bottom w:val="single" w:sz="12" w:space="0" w:color="auto"/>
            </w:tcBorders>
          </w:tcPr>
          <w:p w:rsidR="00006C89" w:rsidRDefault="00006C89" w:rsidP="00E66A00">
            <w:pPr>
              <w:pStyle w:val="LetterNormal"/>
            </w:pPr>
            <w:r>
              <w:t xml:space="preserve">With reference to the </w:t>
            </w:r>
            <w:r w:rsidRPr="00006C89">
              <w:rPr>
                <w:i/>
              </w:rPr>
              <w:t>CNH</w:t>
            </w:r>
            <w:r>
              <w:t xml:space="preserve"> decision, IPONZ will now accept amendments to object clauses to add </w:t>
            </w:r>
            <w:r w:rsidR="002C4BFF">
              <w:t xml:space="preserve">e.g. </w:t>
            </w:r>
            <w:r>
              <w:t>‘at least provide the public with a useful choice’.</w:t>
            </w:r>
          </w:p>
        </w:tc>
      </w:tr>
      <w:tr w:rsidR="00CC6146" w:rsidTr="00F23214">
        <w:trPr>
          <w:cantSplit/>
        </w:trPr>
        <w:tc>
          <w:tcPr>
            <w:tcW w:w="2802" w:type="dxa"/>
            <w:tcBorders>
              <w:top w:val="single" w:sz="12" w:space="0" w:color="auto"/>
              <w:bottom w:val="single" w:sz="12" w:space="0" w:color="auto"/>
            </w:tcBorders>
          </w:tcPr>
          <w:p w:rsidR="00CC6146" w:rsidRDefault="00CC6146" w:rsidP="000103C1">
            <w:pPr>
              <w:pStyle w:val="ListParagraph"/>
              <w:numPr>
                <w:ilvl w:val="0"/>
                <w:numId w:val="9"/>
              </w:numPr>
              <w:rPr>
                <w:b/>
                <w:sz w:val="24"/>
                <w:szCs w:val="24"/>
              </w:rPr>
            </w:pPr>
            <w:r>
              <w:rPr>
                <w:b/>
                <w:sz w:val="24"/>
                <w:szCs w:val="24"/>
              </w:rPr>
              <w:t>Issues register</w:t>
            </w:r>
          </w:p>
        </w:tc>
        <w:tc>
          <w:tcPr>
            <w:tcW w:w="6440" w:type="dxa"/>
            <w:tcBorders>
              <w:top w:val="single" w:sz="12" w:space="0" w:color="auto"/>
              <w:bottom w:val="single" w:sz="12" w:space="0" w:color="auto"/>
            </w:tcBorders>
          </w:tcPr>
          <w:p w:rsidR="00CC6146" w:rsidRDefault="00CC6146" w:rsidP="00E66A00">
            <w:pPr>
              <w:pStyle w:val="LetterNormal"/>
            </w:pPr>
            <w:r>
              <w:t xml:space="preserve">MBIE/IPONZ </w:t>
            </w:r>
            <w:r w:rsidR="002C4BFF">
              <w:t>want</w:t>
            </w:r>
            <w:bookmarkStart w:id="0" w:name="_GoBack"/>
            <w:bookmarkEnd w:id="0"/>
            <w:r>
              <w:t xml:space="preserve"> to develop an ’issues register’ for matters affecting New Zealand’s IP provisions.</w:t>
            </w:r>
          </w:p>
        </w:tc>
      </w:tr>
      <w:tr w:rsidR="00F23214" w:rsidTr="00F23214">
        <w:trPr>
          <w:cantSplit/>
        </w:trPr>
        <w:tc>
          <w:tcPr>
            <w:tcW w:w="2802" w:type="dxa"/>
            <w:tcBorders>
              <w:top w:val="single" w:sz="12" w:space="0" w:color="auto"/>
              <w:bottom w:val="single" w:sz="12" w:space="0" w:color="auto"/>
            </w:tcBorders>
          </w:tcPr>
          <w:p w:rsidR="00F23214" w:rsidRDefault="00F23214" w:rsidP="000103C1">
            <w:pPr>
              <w:pStyle w:val="ListParagraph"/>
              <w:numPr>
                <w:ilvl w:val="0"/>
                <w:numId w:val="9"/>
              </w:numPr>
              <w:rPr>
                <w:b/>
                <w:sz w:val="24"/>
                <w:szCs w:val="24"/>
              </w:rPr>
            </w:pPr>
            <w:r>
              <w:rPr>
                <w:b/>
                <w:sz w:val="24"/>
                <w:szCs w:val="24"/>
              </w:rPr>
              <w:t>Verification of translations</w:t>
            </w:r>
          </w:p>
        </w:tc>
        <w:tc>
          <w:tcPr>
            <w:tcW w:w="6440" w:type="dxa"/>
            <w:tcBorders>
              <w:top w:val="single" w:sz="12" w:space="0" w:color="auto"/>
              <w:bottom w:val="single" w:sz="12" w:space="0" w:color="auto"/>
            </w:tcBorders>
          </w:tcPr>
          <w:p w:rsidR="00F23214" w:rsidRDefault="00F23214" w:rsidP="00E66A00">
            <w:pPr>
              <w:pStyle w:val="LetterNormal"/>
            </w:pPr>
            <w:r>
              <w:t>It was suggested that IPONZ should relax its requirements regarding translations because it often seems unnecessary that a translation should require verification, which places a further burden on applicants, e.g. for documents other than complete specifications.</w:t>
            </w:r>
          </w:p>
        </w:tc>
      </w:tr>
      <w:tr w:rsidR="00F23214" w:rsidTr="008726E6">
        <w:trPr>
          <w:cantSplit/>
        </w:trPr>
        <w:tc>
          <w:tcPr>
            <w:tcW w:w="2802" w:type="dxa"/>
            <w:tcBorders>
              <w:top w:val="single" w:sz="12" w:space="0" w:color="auto"/>
              <w:bottom w:val="single" w:sz="4" w:space="0" w:color="auto"/>
            </w:tcBorders>
          </w:tcPr>
          <w:p w:rsidR="00F23214" w:rsidRDefault="00F23214" w:rsidP="000103C1">
            <w:pPr>
              <w:pStyle w:val="ListParagraph"/>
              <w:numPr>
                <w:ilvl w:val="0"/>
                <w:numId w:val="9"/>
              </w:numPr>
              <w:rPr>
                <w:b/>
                <w:sz w:val="24"/>
                <w:szCs w:val="24"/>
              </w:rPr>
            </w:pPr>
            <w:r>
              <w:rPr>
                <w:b/>
                <w:sz w:val="24"/>
                <w:szCs w:val="24"/>
              </w:rPr>
              <w:t>PVR Review</w:t>
            </w:r>
          </w:p>
        </w:tc>
        <w:tc>
          <w:tcPr>
            <w:tcW w:w="6440" w:type="dxa"/>
            <w:tcBorders>
              <w:top w:val="single" w:sz="12" w:space="0" w:color="auto"/>
              <w:bottom w:val="single" w:sz="4" w:space="0" w:color="auto"/>
            </w:tcBorders>
          </w:tcPr>
          <w:p w:rsidR="00F23214" w:rsidRDefault="00F23214" w:rsidP="00E66A00">
            <w:pPr>
              <w:pStyle w:val="LetterNormal"/>
            </w:pPr>
            <w:r>
              <w:t>An options paper has gone to the minister. MBIE is not sure when cabinet will approve that. It could be released for consultation in July.</w:t>
            </w:r>
          </w:p>
        </w:tc>
      </w:tr>
    </w:tbl>
    <w:p w:rsidR="00C90FE3" w:rsidRPr="00070531" w:rsidRDefault="00C90FE3" w:rsidP="00C90FE3">
      <w:pPr>
        <w:rPr>
          <w:b/>
          <w:sz w:val="24"/>
          <w:szCs w:val="24"/>
        </w:rPr>
      </w:pPr>
    </w:p>
    <w:sectPr w:rsidR="00C90FE3" w:rsidRPr="0007053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BA0" w:rsidRDefault="00DF7BA0" w:rsidP="006C7933">
      <w:pPr>
        <w:spacing w:after="0" w:line="240" w:lineRule="auto"/>
      </w:pPr>
      <w:r>
        <w:separator/>
      </w:r>
    </w:p>
  </w:endnote>
  <w:endnote w:type="continuationSeparator" w:id="0">
    <w:p w:rsidR="00DF7BA0" w:rsidRDefault="00DF7BA0" w:rsidP="006C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933" w:rsidRDefault="006C7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933" w:rsidRDefault="006C7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933" w:rsidRDefault="006C7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BA0" w:rsidRDefault="00DF7BA0" w:rsidP="006C7933">
      <w:pPr>
        <w:spacing w:after="0" w:line="240" w:lineRule="auto"/>
      </w:pPr>
      <w:r>
        <w:separator/>
      </w:r>
    </w:p>
  </w:footnote>
  <w:footnote w:type="continuationSeparator" w:id="0">
    <w:p w:rsidR="00DF7BA0" w:rsidRDefault="00DF7BA0" w:rsidP="006C7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933" w:rsidRDefault="006C7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933" w:rsidRDefault="006C7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933" w:rsidRDefault="006C7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1CA6"/>
    <w:multiLevelType w:val="hybridMultilevel"/>
    <w:tmpl w:val="A9AA6B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3EF4EC1"/>
    <w:multiLevelType w:val="hybridMultilevel"/>
    <w:tmpl w:val="EB104C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9264B23"/>
    <w:multiLevelType w:val="hybridMultilevel"/>
    <w:tmpl w:val="5F92D7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0A31EC3"/>
    <w:multiLevelType w:val="hybridMultilevel"/>
    <w:tmpl w:val="B73C2A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5F81B86"/>
    <w:multiLevelType w:val="hybridMultilevel"/>
    <w:tmpl w:val="0CC677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5854059"/>
    <w:multiLevelType w:val="hybridMultilevel"/>
    <w:tmpl w:val="0CC677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9767815"/>
    <w:multiLevelType w:val="hybridMultilevel"/>
    <w:tmpl w:val="7C24F0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B2C2895"/>
    <w:multiLevelType w:val="hybridMultilevel"/>
    <w:tmpl w:val="7C24F0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BFD619F"/>
    <w:multiLevelType w:val="multilevel"/>
    <w:tmpl w:val="6596B060"/>
    <w:lvl w:ilvl="0">
      <w:start w:val="1"/>
      <w:numFmt w:val="bullet"/>
      <w:pStyle w:val="AJP3ptbullet"/>
      <w:lvlText w:val=""/>
      <w:lvlJc w:val="left"/>
      <w:pPr>
        <w:tabs>
          <w:tab w:val="num" w:pos="567"/>
        </w:tabs>
        <w:ind w:left="567" w:hanging="567"/>
      </w:pPr>
      <w:rPr>
        <w:rFonts w:ascii="Symbol" w:hAnsi="Symbol" w:hint="default"/>
        <w:b w:val="0"/>
        <w:i w:val="0"/>
        <w:sz w:val="24"/>
      </w:rPr>
    </w:lvl>
    <w:lvl w:ilvl="1">
      <w:start w:val="1"/>
      <w:numFmt w:val="bullet"/>
      <w:lvlText w:val=""/>
      <w:lvlJc w:val="left"/>
      <w:pPr>
        <w:tabs>
          <w:tab w:val="num" w:pos="1134"/>
        </w:tabs>
        <w:ind w:left="1134" w:hanging="567"/>
      </w:pPr>
      <w:rPr>
        <w:rFonts w:ascii="Wingdings" w:hAnsi="Wingdings" w:hint="default"/>
        <w:b w:val="0"/>
        <w:i w:val="0"/>
        <w:sz w:val="24"/>
      </w:rPr>
    </w:lvl>
    <w:lvl w:ilvl="2">
      <w:start w:val="1"/>
      <w:numFmt w:val="bullet"/>
      <w:lvlText w:val=""/>
      <w:lvlJc w:val="left"/>
      <w:pPr>
        <w:tabs>
          <w:tab w:val="num" w:pos="1701"/>
        </w:tabs>
        <w:ind w:left="1701" w:hanging="567"/>
      </w:pPr>
      <w:rPr>
        <w:rFonts w:ascii="Wingdings" w:hAnsi="Wingdings" w:hint="default"/>
        <w:b w:val="0"/>
        <w:i w:val="0"/>
        <w:sz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5"/>
  </w:num>
  <w:num w:numId="2">
    <w:abstractNumId w:val="6"/>
  </w:num>
  <w:num w:numId="3">
    <w:abstractNumId w:val="8"/>
  </w:num>
  <w:num w:numId="4">
    <w:abstractNumId w:val="7"/>
  </w:num>
  <w:num w:numId="5">
    <w:abstractNumId w:val="0"/>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356"/>
    <w:rsid w:val="00006C89"/>
    <w:rsid w:val="000103C1"/>
    <w:rsid w:val="00014780"/>
    <w:rsid w:val="00070531"/>
    <w:rsid w:val="000E6F17"/>
    <w:rsid w:val="000F2D95"/>
    <w:rsid w:val="00165A42"/>
    <w:rsid w:val="001F5125"/>
    <w:rsid w:val="002A3AF6"/>
    <w:rsid w:val="002C4BFF"/>
    <w:rsid w:val="002E63CE"/>
    <w:rsid w:val="002E7EBE"/>
    <w:rsid w:val="00327718"/>
    <w:rsid w:val="0033167F"/>
    <w:rsid w:val="004B4255"/>
    <w:rsid w:val="004F2356"/>
    <w:rsid w:val="005B613F"/>
    <w:rsid w:val="005C394B"/>
    <w:rsid w:val="005E12DB"/>
    <w:rsid w:val="0067556B"/>
    <w:rsid w:val="0068354D"/>
    <w:rsid w:val="006C7933"/>
    <w:rsid w:val="006F72B2"/>
    <w:rsid w:val="007517A1"/>
    <w:rsid w:val="0075731D"/>
    <w:rsid w:val="00760FC7"/>
    <w:rsid w:val="007A5671"/>
    <w:rsid w:val="008130BC"/>
    <w:rsid w:val="008726E6"/>
    <w:rsid w:val="008D27E7"/>
    <w:rsid w:val="00907636"/>
    <w:rsid w:val="00941E72"/>
    <w:rsid w:val="009A740E"/>
    <w:rsid w:val="00AA078E"/>
    <w:rsid w:val="00AB074F"/>
    <w:rsid w:val="00AC274D"/>
    <w:rsid w:val="00AE60F5"/>
    <w:rsid w:val="00B555E7"/>
    <w:rsid w:val="00C206B8"/>
    <w:rsid w:val="00C90FE3"/>
    <w:rsid w:val="00C9431B"/>
    <w:rsid w:val="00CC6146"/>
    <w:rsid w:val="00D36C4B"/>
    <w:rsid w:val="00D51F4E"/>
    <w:rsid w:val="00D81943"/>
    <w:rsid w:val="00DE767A"/>
    <w:rsid w:val="00DF7BA0"/>
    <w:rsid w:val="00E93E23"/>
    <w:rsid w:val="00F23214"/>
    <w:rsid w:val="00FB37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A0BF"/>
  <w15:docId w15:val="{0E2A9069-1D6E-4A59-8564-0C548DEB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AJP Table"/>
    <w:basedOn w:val="TableNormal"/>
    <w:rsid w:val="00070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0531"/>
    <w:pPr>
      <w:ind w:left="720"/>
      <w:contextualSpacing/>
    </w:pPr>
  </w:style>
  <w:style w:type="paragraph" w:styleId="BalloonText">
    <w:name w:val="Balloon Text"/>
    <w:basedOn w:val="Normal"/>
    <w:link w:val="BalloonTextChar"/>
    <w:uiPriority w:val="99"/>
    <w:semiHidden/>
    <w:unhideWhenUsed/>
    <w:rsid w:val="00907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36"/>
    <w:rPr>
      <w:rFonts w:ascii="Tahoma" w:hAnsi="Tahoma" w:cs="Tahoma"/>
      <w:sz w:val="16"/>
      <w:szCs w:val="16"/>
    </w:rPr>
  </w:style>
  <w:style w:type="paragraph" w:customStyle="1" w:styleId="LetterNormal">
    <w:name w:val="LetterNormal"/>
    <w:basedOn w:val="Normal"/>
    <w:qFormat/>
    <w:rsid w:val="002A3AF6"/>
    <w:pPr>
      <w:autoSpaceDE w:val="0"/>
      <w:autoSpaceDN w:val="0"/>
      <w:adjustRightInd w:val="0"/>
      <w:spacing w:after="240" w:line="240" w:lineRule="auto"/>
    </w:pPr>
    <w:rPr>
      <w:rFonts w:ascii="Verdana" w:eastAsia="SimSun" w:hAnsi="Verdana" w:cs="Times New Roman"/>
      <w:sz w:val="20"/>
      <w:szCs w:val="24"/>
      <w:lang w:eastAsia="en-NZ"/>
    </w:rPr>
  </w:style>
  <w:style w:type="paragraph" w:customStyle="1" w:styleId="AJP3ptbullet">
    <w:name w:val="AJP 3pt bullet"/>
    <w:basedOn w:val="Normal"/>
    <w:qFormat/>
    <w:rsid w:val="00941E72"/>
    <w:pPr>
      <w:numPr>
        <w:numId w:val="3"/>
      </w:numPr>
      <w:spacing w:after="60" w:line="240" w:lineRule="auto"/>
    </w:pPr>
    <w:rPr>
      <w:rFonts w:ascii="Verdana" w:eastAsia="SimSun" w:hAnsi="Verdana" w:cs="Times New Roman"/>
      <w:sz w:val="20"/>
      <w:szCs w:val="24"/>
      <w:lang w:eastAsia="zh-CN"/>
    </w:rPr>
  </w:style>
  <w:style w:type="paragraph" w:customStyle="1" w:styleId="AJPDESCRIPTIVESUBJECTLINE">
    <w:name w:val="AJP DESCRIPTIVE SUBJECT LINE"/>
    <w:basedOn w:val="Normal"/>
    <w:next w:val="Normal"/>
    <w:qFormat/>
    <w:rsid w:val="00941E72"/>
    <w:pPr>
      <w:spacing w:after="0" w:line="240" w:lineRule="auto"/>
    </w:pPr>
    <w:rPr>
      <w:rFonts w:ascii="Verdana" w:eastAsia="SimSun" w:hAnsi="Verdana" w:cs="Times New Roman"/>
      <w:b/>
      <w:caps/>
      <w:sz w:val="23"/>
      <w:szCs w:val="24"/>
      <w:lang w:eastAsia="zh-CN"/>
    </w:rPr>
  </w:style>
  <w:style w:type="paragraph" w:styleId="Header">
    <w:name w:val="header"/>
    <w:basedOn w:val="Normal"/>
    <w:link w:val="HeaderChar"/>
    <w:uiPriority w:val="99"/>
    <w:unhideWhenUsed/>
    <w:rsid w:val="006C7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933"/>
  </w:style>
  <w:style w:type="paragraph" w:styleId="Footer">
    <w:name w:val="footer"/>
    <w:basedOn w:val="Normal"/>
    <w:link w:val="FooterChar"/>
    <w:uiPriority w:val="99"/>
    <w:unhideWhenUsed/>
    <w:rsid w:val="006C7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G\AppData\Local\Microsoft\Windows\Temporary%20Internet%20Files\Content.Outlook\VZ4IXIER\Summary%20of%20IPONZ%20Technical%20Focus%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Summary of IPONZ Technical Focus Group.dotx</Template>
  <TotalTime>189</TotalTime>
  <Pages>4</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ddg</dc:creator>
  <cp:lastModifiedBy>Duncan de Geest</cp:lastModifiedBy>
  <cp:revision>30</cp:revision>
  <cp:lastPrinted>2016-10-06T05:19:00Z</cp:lastPrinted>
  <dcterms:created xsi:type="dcterms:W3CDTF">2016-10-06T05:17:00Z</dcterms:created>
  <dcterms:modified xsi:type="dcterms:W3CDTF">2019-06-27T10:35:00Z</dcterms:modified>
</cp:coreProperties>
</file>